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p>
      <w:pPr>
        <w:pStyle w:val="Footer"/>
        <w:tabs>
          <w:tab w:val="clear" w:pos="4320"/>
          <w:tab w:val="clear" w:pos="8640"/>
        </w:tabs>
        <w:jc w:val="both"/>
        <w:rPr/>
      </w:pPr>
      <w:r>
        <w:rPr/>
        <w:tab/>
      </w:r>
      <w:r>
        <w:rPr>
          <w:sz w:val="22"/>
        </w:rPr>
        <w:t>To:</w:t>
        <w:tab/>
        <w:tab/>
        <w:t>Rob Milnthorp</w:t>
      </w:r>
    </w:p>
    <w:p>
      <w:pPr>
        <w:pStyle w:val="Normal"/>
        <w:jc w:val="both"/>
        <w:rPr>
          <w:sz w:val="22"/>
        </w:rPr>
      </w:pPr>
      <w:r>
        <w:rPr>
          <w:sz w:val="22"/>
        </w:rPr>
        <w:tab/>
        <w:tab/>
        <w:tab/>
        <w:tab/>
        <w:t>Paul DeVries</w:t>
      </w:r>
    </w:p>
    <w:p>
      <w:pPr>
        <w:pStyle w:val="Normal"/>
        <w:jc w:val="both"/>
        <w:rPr>
          <w:sz w:val="22"/>
        </w:rPr>
      </w:pPr>
      <w:r>
        <w:rPr>
          <w:sz w:val="22"/>
        </w:rPr>
        <w:tab/>
        <w:tab/>
        <w:tab/>
        <w:tab/>
        <w:t>Peter Keohane</w:t>
      </w:r>
    </w:p>
    <w:p>
      <w:pPr>
        <w:pStyle w:val="Normal"/>
        <w:jc w:val="both"/>
        <w:rPr>
          <w:sz w:val="22"/>
        </w:rPr>
      </w:pPr>
      <w:r>
        <w:rPr>
          <w:sz w:val="22"/>
        </w:rPr>
        <w:tab/>
        <w:tab/>
        <w:tab/>
        <w:tab/>
        <w:t>Rob Hemstock</w:t>
        <w:tab/>
      </w:r>
    </w:p>
    <w:p>
      <w:pPr>
        <w:pStyle w:val="Normal"/>
        <w:jc w:val="both"/>
        <w:rPr>
          <w:sz w:val="22"/>
        </w:rPr>
      </w:pPr>
      <w:r>
        <w:rPr>
          <w:sz w:val="22"/>
        </w:rPr>
      </w:r>
    </w:p>
    <w:p>
      <w:pPr>
        <w:pStyle w:val="Footer"/>
        <w:tabs>
          <w:tab w:val="clear" w:pos="4320"/>
          <w:tab w:val="clear" w:pos="8640"/>
        </w:tabs>
        <w:jc w:val="both"/>
        <w:rPr>
          <w:sz w:val="22"/>
        </w:rPr>
      </w:pPr>
      <w:r>
        <w:rPr>
          <w:sz w:val="22"/>
        </w:rPr>
        <w:tab/>
        <w:t>From:</w:t>
        <w:tab/>
        <w:tab/>
        <w:t>Chris Gaffney</w:t>
        <w:tab/>
        <w:tab/>
        <w:tab/>
        <w:tab/>
        <w:tab/>
        <w:tab/>
        <w:tab/>
        <w:t>Department:  Legal</w:t>
      </w:r>
    </w:p>
    <w:p>
      <w:pPr>
        <w:pStyle w:val="Normal"/>
        <w:jc w:val="both"/>
        <w:rPr>
          <w:sz w:val="22"/>
        </w:rPr>
      </w:pPr>
      <w:r>
        <w:rPr>
          <w:sz w:val="22"/>
        </w:rPr>
      </w:r>
    </w:p>
    <w:p>
      <w:pPr>
        <w:pStyle w:val="Footer"/>
        <w:tabs>
          <w:tab w:val="clear" w:pos="4320"/>
          <w:tab w:val="clear" w:pos="8640"/>
        </w:tabs>
        <w:jc w:val="both"/>
        <w:rPr>
          <w:sz w:val="22"/>
        </w:rPr>
      </w:pPr>
      <w:r>
        <w:rPr>
          <w:sz w:val="22"/>
        </w:rPr>
        <w:tab/>
        <w:t>Subject:</w:t>
        <w:tab/>
        <w:t>Aleck Dadson – Exit Interview and Workload Allocation</w:t>
        <w:tab/>
        <w:t>Date:  September 25, 2001</w:t>
      </w:r>
    </w:p>
    <w:p>
      <w:pPr>
        <w:pStyle w:val="Footer"/>
        <w:tabs>
          <w:tab w:val="clear" w:pos="4320"/>
          <w:tab w:val="clear" w:pos="8640"/>
        </w:tabs>
        <w:jc w:val="both"/>
        <w:rPr>
          <w:sz w:val="22"/>
        </w:rPr>
      </w:pPr>
      <w:r>
        <w:rPr>
          <w:sz w:val="22"/>
        </w:rPr>
      </w:r>
    </w:p>
    <w:p>
      <w:pPr>
        <w:pStyle w:val="Footer"/>
        <w:tabs>
          <w:tab w:val="clear" w:pos="4320"/>
          <w:tab w:val="clear" w:pos="8640"/>
        </w:tabs>
        <w:jc w:val="both"/>
        <w:rPr>
          <w:sz w:val="22"/>
        </w:rPr>
      </w:pPr>
      <w:r>
        <w:rPr>
          <w:b/>
          <w:bCs/>
          <w:sz w:val="22"/>
          <w:u w:val="single"/>
        </w:rPr>
        <w:tab/>
        <w:tab/>
        <w:tab/>
        <w:tab/>
        <w:tab/>
        <w:tab/>
        <w:tab/>
        <w:tab/>
        <w:tab/>
        <w:tab/>
        <w:tab/>
        <w:tab/>
        <w:tab/>
        <w:tab/>
        <w:tab/>
      </w:r>
    </w:p>
    <w:p>
      <w:pPr>
        <w:pStyle w:val="Footer"/>
        <w:tabs>
          <w:tab w:val="clear" w:pos="4320"/>
          <w:tab w:val="clear" w:pos="8640"/>
        </w:tabs>
        <w:jc w:val="both"/>
        <w:rPr>
          <w:sz w:val="22"/>
        </w:rPr>
      </w:pPr>
      <w:r>
        <w:rPr>
          <w:sz w:val="22"/>
        </w:rPr>
      </w:r>
    </w:p>
    <w:p>
      <w:pPr>
        <w:pStyle w:val="Footer"/>
        <w:tabs>
          <w:tab w:val="clear" w:pos="4320"/>
          <w:tab w:val="clear" w:pos="8640"/>
        </w:tabs>
        <w:jc w:val="both"/>
        <w:rPr>
          <w:sz w:val="22"/>
        </w:rPr>
      </w:pPr>
      <w:r>
        <w:rPr>
          <w:sz w:val="22"/>
        </w:rPr>
        <w:t>I conducted a standard exit interview with Aleck late yesterday afternoon and thought it might be useful for all of us to meet to discuss the proper allocation of Aleck’s workload.  As part of the exit interview I reminded Aleck of his obligations and duties to Enron with respect to confidentiality.  Aleck strongly assured me that Centrica/Direct has not asked nor has he offered any information with respect to the business and affairs of Enron.  He further assured me that he would maintain this confidentiality and would specifically advise Centrica/Direct that he would not entertain any inquiries with respect to Enron.</w:t>
      </w:r>
    </w:p>
    <w:p>
      <w:pPr>
        <w:pStyle w:val="Footer"/>
        <w:tabs>
          <w:tab w:val="clear" w:pos="4320"/>
          <w:tab w:val="clear" w:pos="8640"/>
        </w:tabs>
        <w:jc w:val="both"/>
        <w:rPr>
          <w:sz w:val="22"/>
        </w:rPr>
      </w:pPr>
      <w:r>
        <w:rPr>
          <w:sz w:val="22"/>
        </w:rPr>
      </w:r>
    </w:p>
    <w:p>
      <w:pPr>
        <w:pStyle w:val="Footer"/>
        <w:tabs>
          <w:tab w:val="clear" w:pos="4320"/>
          <w:tab w:val="clear" w:pos="8640"/>
        </w:tabs>
        <w:jc w:val="both"/>
        <w:rPr>
          <w:sz w:val="22"/>
        </w:rPr>
      </w:pPr>
      <w:r>
        <w:rPr>
          <w:sz w:val="22"/>
        </w:rPr>
        <w:t>The following are the most immediate items which were to be handled by Aleck:</w:t>
      </w:r>
    </w:p>
    <w:p>
      <w:pPr>
        <w:pStyle w:val="Footer"/>
        <w:tabs>
          <w:tab w:val="clear" w:pos="4320"/>
          <w:tab w:val="clear" w:pos="8640"/>
        </w:tabs>
        <w:jc w:val="both"/>
        <w:rPr>
          <w:sz w:val="22"/>
        </w:rPr>
      </w:pPr>
      <w:r>
        <w:rPr>
          <w:sz w:val="22"/>
        </w:rPr>
      </w:r>
    </w:p>
    <w:p>
      <w:pPr>
        <w:pStyle w:val="Footer"/>
        <w:tabs>
          <w:tab w:val="clear" w:pos="4320"/>
          <w:tab w:val="clear" w:pos="8640"/>
        </w:tabs>
        <w:jc w:val="both"/>
        <w:rPr>
          <w:sz w:val="22"/>
        </w:rPr>
      </w:pPr>
      <w:r>
        <w:rPr>
          <w:sz w:val="22"/>
        </w:rPr>
        <w:t>1.</w:t>
        <w:tab/>
      </w:r>
      <w:r>
        <w:rPr>
          <w:sz w:val="22"/>
          <w:u w:val="single"/>
        </w:rPr>
        <w:t>Enron Direct Canada Corp. (“EDC”) – Application to Market Natural Gas</w:t>
      </w:r>
    </w:p>
    <w:p>
      <w:pPr>
        <w:pStyle w:val="Footer"/>
        <w:tabs>
          <w:tab w:val="clear" w:pos="4320"/>
          <w:tab w:val="clear" w:pos="8640"/>
        </w:tabs>
        <w:jc w:val="both"/>
        <w:rPr>
          <w:sz w:val="22"/>
        </w:rPr>
      </w:pPr>
      <w:r>
        <w:rPr>
          <w:sz w:val="22"/>
        </w:rPr>
      </w:r>
    </w:p>
    <w:p>
      <w:pPr>
        <w:pStyle w:val="Footer"/>
        <w:tabs>
          <w:tab w:val="clear" w:pos="4320"/>
          <w:tab w:val="clear" w:pos="8640"/>
        </w:tabs>
        <w:ind w:firstLine="720" w:end="0"/>
        <w:jc w:val="both"/>
        <w:rPr>
          <w:sz w:val="22"/>
        </w:rPr>
      </w:pPr>
      <w:r>
        <w:rPr>
          <w:sz w:val="22"/>
        </w:rPr>
        <w:t>A draft of this licence application has been prepared by Aleck’s assistant, Lisa Assaf.  The application needs to be reviewed, executed and sent to the Ontario Energy Board (“OEB”).</w:t>
      </w:r>
    </w:p>
    <w:p>
      <w:pPr>
        <w:pStyle w:val="Footer"/>
        <w:tabs>
          <w:tab w:val="clear" w:pos="4320"/>
          <w:tab w:val="clear" w:pos="8640"/>
        </w:tabs>
        <w:jc w:val="both"/>
        <w:rPr>
          <w:sz w:val="22"/>
        </w:rPr>
      </w:pPr>
      <w:r>
        <w:rPr>
          <w:sz w:val="22"/>
        </w:rPr>
      </w:r>
    </w:p>
    <w:p>
      <w:pPr>
        <w:pStyle w:val="Footer"/>
        <w:tabs>
          <w:tab w:val="clear" w:pos="4320"/>
          <w:tab w:val="clear" w:pos="8640"/>
        </w:tabs>
        <w:ind w:firstLine="720" w:end="0"/>
        <w:jc w:val="both"/>
        <w:rPr>
          <w:sz w:val="22"/>
        </w:rPr>
      </w:pPr>
      <w:r>
        <w:rPr>
          <w:sz w:val="22"/>
        </w:rPr>
        <w:t>The cover letter to the OEB should make reference to the recent EDC reorganization as much of the information provided has changed since EDC’s application for an electricity retailer’s licence.  EDC pro-forma financials must be included with the application.  These may be copied from the electricity retailer’s licence application.</w:t>
      </w:r>
    </w:p>
    <w:p>
      <w:pPr>
        <w:pStyle w:val="Footer"/>
        <w:tabs>
          <w:tab w:val="clear" w:pos="4320"/>
          <w:tab w:val="clear" w:pos="8640"/>
        </w:tabs>
        <w:jc w:val="both"/>
        <w:rPr>
          <w:sz w:val="22"/>
        </w:rPr>
      </w:pPr>
      <w:r>
        <w:rPr>
          <w:sz w:val="22"/>
        </w:rPr>
      </w:r>
    </w:p>
    <w:p>
      <w:pPr>
        <w:pStyle w:val="Footer"/>
        <w:tabs>
          <w:tab w:val="clear" w:pos="4320"/>
          <w:tab w:val="clear" w:pos="8640"/>
        </w:tabs>
        <w:jc w:val="both"/>
        <w:rPr/>
      </w:pPr>
      <w:r>
        <w:rPr>
          <w:sz w:val="22"/>
        </w:rPr>
        <w:t>2.</w:t>
        <w:tab/>
      </w:r>
      <w:r>
        <w:rPr>
          <w:sz w:val="22"/>
          <w:u w:val="single"/>
        </w:rPr>
        <w:t>Enron Canada Corp. (“ECC”) – Application to Market Natural Gas</w:t>
      </w:r>
    </w:p>
    <w:p>
      <w:pPr>
        <w:pStyle w:val="Footer"/>
        <w:tabs>
          <w:tab w:val="clear" w:pos="4320"/>
          <w:tab w:val="clear" w:pos="8640"/>
        </w:tabs>
        <w:jc w:val="both"/>
        <w:rPr>
          <w:sz w:val="22"/>
          <w:u w:val="single"/>
        </w:rPr>
      </w:pPr>
      <w:r>
        <w:rPr>
          <w:sz w:val="22"/>
          <w:u w:val="single"/>
        </w:rPr>
      </w:r>
    </w:p>
    <w:p>
      <w:pPr>
        <w:pStyle w:val="Footer"/>
        <w:tabs>
          <w:tab w:val="clear" w:pos="4320"/>
          <w:tab w:val="clear" w:pos="8640"/>
        </w:tabs>
        <w:ind w:firstLine="720" w:end="0"/>
        <w:jc w:val="both"/>
        <w:rPr>
          <w:sz w:val="22"/>
        </w:rPr>
      </w:pPr>
      <w:r>
        <w:rPr>
          <w:sz w:val="22"/>
        </w:rPr>
        <w:t>A draft of this licence application has been prepared by Aleck’s assistant, Lisa Assaf.  The application needs to be reviewed, executed and sent to the Ontario Energy Board (“OEB”).</w:t>
      </w:r>
    </w:p>
    <w:p>
      <w:pPr>
        <w:pStyle w:val="Footer"/>
        <w:tabs>
          <w:tab w:val="clear" w:pos="4320"/>
          <w:tab w:val="clear" w:pos="8640"/>
        </w:tabs>
        <w:jc w:val="both"/>
        <w:rPr>
          <w:sz w:val="22"/>
        </w:rPr>
      </w:pPr>
      <w:r>
        <w:rPr>
          <w:sz w:val="22"/>
        </w:rPr>
      </w:r>
    </w:p>
    <w:p>
      <w:pPr>
        <w:pStyle w:val="Footer"/>
        <w:tabs>
          <w:tab w:val="clear" w:pos="4320"/>
          <w:tab w:val="clear" w:pos="8640"/>
        </w:tabs>
        <w:ind w:firstLine="720" w:end="0"/>
        <w:jc w:val="both"/>
        <w:rPr>
          <w:sz w:val="22"/>
        </w:rPr>
      </w:pPr>
      <w:r>
        <w:rPr>
          <w:sz w:val="22"/>
        </w:rPr>
        <w:t>Laura Scott has provided copies of the ECC financials which must be included with the application.</w:t>
      </w:r>
    </w:p>
    <w:p>
      <w:pPr>
        <w:pStyle w:val="Footer"/>
        <w:tabs>
          <w:tab w:val="clear" w:pos="4320"/>
          <w:tab w:val="clear" w:pos="8640"/>
        </w:tabs>
        <w:jc w:val="both"/>
        <w:rPr>
          <w:sz w:val="22"/>
        </w:rPr>
      </w:pPr>
      <w:r>
        <w:rPr>
          <w:sz w:val="22"/>
        </w:rPr>
      </w:r>
    </w:p>
    <w:p>
      <w:pPr>
        <w:pStyle w:val="Footer"/>
        <w:tabs>
          <w:tab w:val="clear" w:pos="4320"/>
          <w:tab w:val="clear" w:pos="8640"/>
        </w:tabs>
        <w:jc w:val="both"/>
        <w:rPr/>
      </w:pPr>
      <w:r>
        <w:rPr>
          <w:sz w:val="22"/>
        </w:rPr>
        <w:t>3.</w:t>
        <w:tab/>
      </w:r>
      <w:r>
        <w:rPr>
          <w:sz w:val="22"/>
          <w:u w:val="single"/>
        </w:rPr>
        <w:t>EDC – Application for Electricity Retailers Licence</w:t>
      </w:r>
    </w:p>
    <w:p>
      <w:pPr>
        <w:pStyle w:val="Footer"/>
        <w:tabs>
          <w:tab w:val="clear" w:pos="4320"/>
          <w:tab w:val="clear" w:pos="8640"/>
        </w:tabs>
        <w:jc w:val="both"/>
        <w:rPr>
          <w:sz w:val="22"/>
          <w:u w:val="single"/>
        </w:rPr>
      </w:pPr>
      <w:r>
        <w:rPr>
          <w:sz w:val="22"/>
          <w:u w:val="single"/>
        </w:rPr>
      </w:r>
    </w:p>
    <w:p>
      <w:pPr>
        <w:pStyle w:val="Footer"/>
        <w:tabs>
          <w:tab w:val="clear" w:pos="4320"/>
          <w:tab w:val="clear" w:pos="8640"/>
        </w:tabs>
        <w:ind w:firstLine="720" w:end="0"/>
        <w:jc w:val="both"/>
        <w:rPr>
          <w:sz w:val="22"/>
        </w:rPr>
      </w:pPr>
      <w:r>
        <w:rPr>
          <w:sz w:val="22"/>
        </w:rPr>
        <w:t>Aleck’s initial thought that we may have this within 2 weeks is incorrect.  Toby Baumhard (the OEB contact for all licences) advised Aleck that it will be more than 2 weeks.  We should follow up with the OEB in due course.</w:t>
      </w:r>
    </w:p>
    <w:p>
      <w:pPr>
        <w:pStyle w:val="Footer"/>
        <w:tabs>
          <w:tab w:val="clear" w:pos="4320"/>
          <w:tab w:val="clear" w:pos="8640"/>
        </w:tabs>
        <w:jc w:val="both"/>
        <w:rPr>
          <w:sz w:val="22"/>
          <w:u w:val="single"/>
        </w:rPr>
      </w:pPr>
      <w:r>
        <w:rPr>
          <w:sz w:val="22"/>
          <w:u w:val="single"/>
        </w:rPr>
      </w:r>
    </w:p>
    <w:p>
      <w:pPr>
        <w:pStyle w:val="Footer"/>
        <w:tabs>
          <w:tab w:val="clear" w:pos="4320"/>
          <w:tab w:val="clear" w:pos="8640"/>
        </w:tabs>
        <w:jc w:val="both"/>
        <w:rPr>
          <w:sz w:val="22"/>
        </w:rPr>
      </w:pPr>
      <w:r>
        <w:rPr>
          <w:sz w:val="22"/>
        </w:rPr>
        <w:t>4.</w:t>
        <w:tab/>
      </w:r>
      <w:r>
        <w:rPr>
          <w:sz w:val="22"/>
          <w:u w:val="single"/>
        </w:rPr>
        <w:t>Meeting with the U.S. Ambassador to Canada</w:t>
      </w:r>
    </w:p>
    <w:p>
      <w:pPr>
        <w:pStyle w:val="Footer"/>
        <w:tabs>
          <w:tab w:val="clear" w:pos="4320"/>
          <w:tab w:val="clear" w:pos="8640"/>
        </w:tabs>
        <w:jc w:val="both"/>
        <w:rPr>
          <w:sz w:val="22"/>
          <w:u w:val="single"/>
        </w:rPr>
      </w:pPr>
      <w:r>
        <w:rPr>
          <w:sz w:val="22"/>
          <w:u w:val="single"/>
        </w:rPr>
      </w:r>
    </w:p>
    <w:p>
      <w:pPr>
        <w:pStyle w:val="Footer"/>
        <w:tabs>
          <w:tab w:val="clear" w:pos="4320"/>
          <w:tab w:val="clear" w:pos="8640"/>
        </w:tabs>
        <w:ind w:firstLine="720" w:end="0"/>
        <w:jc w:val="both"/>
        <w:rPr>
          <w:sz w:val="22"/>
        </w:rPr>
      </w:pPr>
      <w:r>
        <w:rPr>
          <w:sz w:val="22"/>
        </w:rPr>
        <w:t>Aleck had set up a meeting on October 3, 2001 to meet with Ambassador Celucci.  Mitch Optican (senior political and economic advisor) should be contacted to either cancel the meeting or to advise that someone will attend in Aleck’s place.</w:t>
      </w:r>
    </w:p>
    <w:p>
      <w:pPr>
        <w:pStyle w:val="Footer"/>
        <w:tabs>
          <w:tab w:val="clear" w:pos="4320"/>
          <w:tab w:val="clear" w:pos="8640"/>
        </w:tabs>
        <w:jc w:val="both"/>
        <w:rPr>
          <w:sz w:val="22"/>
          <w:u w:val="single"/>
        </w:rPr>
      </w:pPr>
      <w:r>
        <w:rPr>
          <w:sz w:val="22"/>
          <w:u w:val="single"/>
        </w:rPr>
      </w:r>
    </w:p>
    <w:p>
      <w:pPr>
        <w:pStyle w:val="Footer"/>
        <w:tabs>
          <w:tab w:val="clear" w:pos="4320"/>
          <w:tab w:val="clear" w:pos="8640"/>
        </w:tabs>
        <w:jc w:val="both"/>
        <w:rPr/>
      </w:pPr>
      <w:r>
        <w:rPr>
          <w:sz w:val="22"/>
        </w:rPr>
        <w:t>5.</w:t>
        <w:tab/>
      </w:r>
      <w:r>
        <w:rPr>
          <w:sz w:val="22"/>
          <w:u w:val="single"/>
        </w:rPr>
        <w:t>GPC</w:t>
      </w:r>
    </w:p>
    <w:p>
      <w:pPr>
        <w:pStyle w:val="Footer"/>
        <w:tabs>
          <w:tab w:val="clear" w:pos="4320"/>
          <w:tab w:val="clear" w:pos="8640"/>
        </w:tabs>
        <w:jc w:val="both"/>
        <w:rPr>
          <w:sz w:val="22"/>
          <w:u w:val="single"/>
        </w:rPr>
      </w:pPr>
      <w:r>
        <w:rPr>
          <w:sz w:val="22"/>
          <w:u w:val="single"/>
        </w:rPr>
      </w:r>
    </w:p>
    <w:p>
      <w:pPr>
        <w:pStyle w:val="Footer"/>
        <w:tabs>
          <w:tab w:val="clear" w:pos="4320"/>
          <w:tab w:val="clear" w:pos="8640"/>
        </w:tabs>
        <w:ind w:firstLine="720" w:end="0"/>
        <w:jc w:val="both"/>
        <w:rPr>
          <w:sz w:val="22"/>
        </w:rPr>
      </w:pPr>
      <w:r>
        <w:rPr>
          <w:sz w:val="22"/>
        </w:rPr>
        <w:t>Aleck has GPC on retainer.  GPC is paid on an hourly basis and has no minimum monthly amount required.  He has received some bills recently that have not been paid.</w:t>
      </w:r>
    </w:p>
    <w:p>
      <w:pPr>
        <w:pStyle w:val="Footer"/>
        <w:tabs>
          <w:tab w:val="clear" w:pos="4320"/>
          <w:tab w:val="clear" w:pos="8640"/>
        </w:tabs>
        <w:jc w:val="both"/>
        <w:rPr>
          <w:sz w:val="22"/>
        </w:rPr>
      </w:pPr>
      <w:r>
        <w:rPr>
          <w:sz w:val="22"/>
        </w:rPr>
      </w:r>
    </w:p>
    <w:p>
      <w:pPr>
        <w:pStyle w:val="Footer"/>
        <w:tabs>
          <w:tab w:val="clear" w:pos="4320"/>
          <w:tab w:val="clear" w:pos="8640"/>
        </w:tabs>
        <w:jc w:val="both"/>
        <w:rPr/>
      </w:pPr>
      <w:r>
        <w:rPr>
          <w:sz w:val="22"/>
        </w:rPr>
        <w:t>6.</w:t>
        <w:tab/>
      </w:r>
      <w:r>
        <w:rPr>
          <w:sz w:val="22"/>
          <w:u w:val="single"/>
        </w:rPr>
        <w:t>Sasha Jacob</w:t>
      </w:r>
    </w:p>
    <w:p>
      <w:pPr>
        <w:pStyle w:val="Footer"/>
        <w:tabs>
          <w:tab w:val="clear" w:pos="4320"/>
          <w:tab w:val="clear" w:pos="8640"/>
        </w:tabs>
        <w:jc w:val="both"/>
        <w:rPr>
          <w:sz w:val="22"/>
          <w:u w:val="single"/>
        </w:rPr>
      </w:pPr>
      <w:r>
        <w:rPr>
          <w:sz w:val="22"/>
          <w:u w:val="single"/>
        </w:rPr>
      </w:r>
    </w:p>
    <w:p>
      <w:pPr>
        <w:pStyle w:val="Footer"/>
        <w:tabs>
          <w:tab w:val="clear" w:pos="4320"/>
          <w:tab w:val="clear" w:pos="8640"/>
        </w:tabs>
        <w:jc w:val="both"/>
        <w:rPr>
          <w:sz w:val="22"/>
        </w:rPr>
      </w:pPr>
      <w:r>
        <w:rPr>
          <w:sz w:val="22"/>
        </w:rPr>
        <w:tab/>
        <w:t>Aleck was contemplating entering into a retainer agreement with Sasha Jacob.  A draft of the Agreement was sent to Rick Shapiro.  Aleck was not sure whether this agreement has been executed.</w:t>
      </w:r>
    </w:p>
    <w:p>
      <w:pPr>
        <w:pStyle w:val="Footer"/>
        <w:tabs>
          <w:tab w:val="clear" w:pos="4320"/>
          <w:tab w:val="clear" w:pos="8640"/>
        </w:tabs>
        <w:jc w:val="both"/>
        <w:rPr>
          <w:sz w:val="22"/>
          <w:u w:val="single"/>
        </w:rPr>
      </w:pPr>
      <w:r>
        <w:rPr>
          <w:sz w:val="22"/>
          <w:u w:val="single"/>
        </w:rPr>
      </w:r>
    </w:p>
    <w:p>
      <w:pPr>
        <w:pStyle w:val="Footer"/>
        <w:tabs>
          <w:tab w:val="clear" w:pos="4320"/>
          <w:tab w:val="clear" w:pos="8640"/>
        </w:tabs>
        <w:jc w:val="both"/>
        <w:rPr/>
      </w:pPr>
      <w:r>
        <w:rPr>
          <w:sz w:val="22"/>
        </w:rPr>
        <w:t>7.</w:t>
        <w:tab/>
      </w:r>
      <w:r>
        <w:rPr>
          <w:sz w:val="22"/>
          <w:u w:val="single"/>
        </w:rPr>
        <w:t>IPPSO Board of Directors</w:t>
      </w:r>
    </w:p>
    <w:p>
      <w:pPr>
        <w:pStyle w:val="Footer"/>
        <w:tabs>
          <w:tab w:val="clear" w:pos="4320"/>
          <w:tab w:val="clear" w:pos="8640"/>
        </w:tabs>
        <w:jc w:val="both"/>
        <w:rPr>
          <w:sz w:val="22"/>
          <w:u w:val="single"/>
        </w:rPr>
      </w:pPr>
      <w:r>
        <w:rPr>
          <w:sz w:val="22"/>
          <w:u w:val="single"/>
        </w:rPr>
      </w:r>
    </w:p>
    <w:p>
      <w:pPr>
        <w:pStyle w:val="Footer"/>
        <w:tabs>
          <w:tab w:val="clear" w:pos="4320"/>
          <w:tab w:val="clear" w:pos="8640"/>
        </w:tabs>
        <w:jc w:val="both"/>
        <w:rPr>
          <w:sz w:val="22"/>
        </w:rPr>
      </w:pPr>
      <w:r>
        <w:rPr>
          <w:sz w:val="22"/>
        </w:rPr>
        <w:tab/>
        <w:t>Aleck advised that he intends to resign from the IPPSO board.</w:t>
      </w:r>
    </w:p>
    <w:p>
      <w:pPr>
        <w:pStyle w:val="Footer"/>
        <w:tabs>
          <w:tab w:val="clear" w:pos="4320"/>
          <w:tab w:val="clear" w:pos="8640"/>
        </w:tabs>
        <w:jc w:val="both"/>
        <w:rPr>
          <w:sz w:val="22"/>
        </w:rPr>
      </w:pPr>
      <w:r>
        <w:rPr>
          <w:sz w:val="22"/>
        </w:rPr>
      </w:r>
    </w:p>
    <w:p>
      <w:pPr>
        <w:pStyle w:val="Footer"/>
        <w:tabs>
          <w:tab w:val="clear" w:pos="4320"/>
          <w:tab w:val="clear" w:pos="8640"/>
        </w:tabs>
        <w:jc w:val="both"/>
        <w:rPr>
          <w:sz w:val="22"/>
        </w:rPr>
      </w:pPr>
      <w:r>
        <w:rPr>
          <w:sz w:val="22"/>
        </w:rPr>
        <w:t>8.</w:t>
        <w:tab/>
      </w:r>
      <w:r>
        <w:rPr>
          <w:sz w:val="22"/>
          <w:u w:val="single"/>
        </w:rPr>
        <w:t>Meetings Scheduled</w:t>
      </w:r>
    </w:p>
    <w:p>
      <w:pPr>
        <w:pStyle w:val="Footer"/>
        <w:tabs>
          <w:tab w:val="clear" w:pos="4320"/>
          <w:tab w:val="clear" w:pos="8640"/>
        </w:tabs>
        <w:jc w:val="both"/>
        <w:rPr>
          <w:sz w:val="22"/>
        </w:rPr>
      </w:pPr>
      <w:r>
        <w:rPr>
          <w:sz w:val="22"/>
        </w:rPr>
      </w:r>
    </w:p>
    <w:p>
      <w:pPr>
        <w:pStyle w:val="Footer"/>
        <w:tabs>
          <w:tab w:val="clear" w:pos="4320"/>
          <w:tab w:val="clear" w:pos="8640"/>
        </w:tabs>
        <w:jc w:val="both"/>
        <w:rPr>
          <w:sz w:val="22"/>
        </w:rPr>
      </w:pPr>
      <w:r>
        <w:rPr>
          <w:sz w:val="22"/>
        </w:rPr>
        <w:tab/>
        <w:t>Lisa Assaf has provided me with Aleck’s schedule for the remainder of the year.  This needs to be reviewed to determine which meetings should be cancelled or attended by a replacement.</w:t>
      </w:r>
    </w:p>
    <w:p>
      <w:pPr>
        <w:pStyle w:val="Footer"/>
        <w:tabs>
          <w:tab w:val="clear" w:pos="4320"/>
          <w:tab w:val="clear" w:pos="8640"/>
        </w:tabs>
        <w:jc w:val="both"/>
        <w:rPr/>
      </w:pPr>
      <w:r>
        <w:rPr/>
      </w:r>
    </w:p>
    <w:p>
      <w:pPr>
        <w:pStyle w:val="Footer"/>
        <w:tabs>
          <w:tab w:val="clear" w:pos="4320"/>
          <w:tab w:val="clear" w:pos="8640"/>
        </w:tabs>
        <w:jc w:val="both"/>
        <w:rPr/>
      </w:pPr>
      <w:r>
        <w:rPr>
          <w:sz w:val="22"/>
        </w:rPr>
        <w:t>9.</w:t>
        <w:tab/>
      </w:r>
      <w:r>
        <w:rPr>
          <w:sz w:val="22"/>
          <w:u w:val="single"/>
        </w:rPr>
        <w:t>Mail/Telephone Calls</w:t>
      </w:r>
    </w:p>
    <w:p>
      <w:pPr>
        <w:pStyle w:val="Footer"/>
        <w:tabs>
          <w:tab w:val="clear" w:pos="4320"/>
          <w:tab w:val="clear" w:pos="8640"/>
        </w:tabs>
        <w:jc w:val="both"/>
        <w:rPr>
          <w:sz w:val="18"/>
          <w:u w:val="single"/>
        </w:rPr>
      </w:pPr>
      <w:r>
        <w:rPr>
          <w:sz w:val="18"/>
          <w:u w:val="single"/>
        </w:rPr>
      </w:r>
    </w:p>
    <w:p>
      <w:pPr>
        <w:pStyle w:val="Footer"/>
        <w:tabs>
          <w:tab w:val="clear" w:pos="4320"/>
          <w:tab w:val="clear" w:pos="8640"/>
        </w:tabs>
        <w:jc w:val="both"/>
        <w:rPr/>
      </w:pPr>
      <w:r>
        <w:rPr>
          <w:sz w:val="18"/>
        </w:rPr>
        <w:tab/>
      </w:r>
      <w:r>
        <w:rPr>
          <w:sz w:val="22"/>
        </w:rPr>
        <w:t>A process needs to be set up to properly review and forward Aleck’s voice mail, regular mail, email and telephone calls.</w:t>
      </w:r>
    </w:p>
    <w:p>
      <w:pPr>
        <w:pStyle w:val="Footer"/>
        <w:tabs>
          <w:tab w:val="clear" w:pos="4320"/>
          <w:tab w:val="clear" w:pos="8640"/>
        </w:tabs>
        <w:jc w:val="both"/>
        <w:rPr>
          <w:sz w:val="18"/>
        </w:rPr>
      </w:pPr>
      <w:r>
        <w:rPr>
          <w:sz w:val="18"/>
        </w:rPr>
      </w:r>
    </w:p>
    <w:p>
      <w:pPr>
        <w:pStyle w:val="Footer"/>
        <w:tabs>
          <w:tab w:val="clear" w:pos="4320"/>
          <w:tab w:val="clear" w:pos="8640"/>
        </w:tabs>
        <w:jc w:val="both"/>
        <w:rPr>
          <w:sz w:val="22"/>
        </w:rPr>
      </w:pPr>
      <w:r>
        <w:rPr>
          <w:sz w:val="22"/>
        </w:rPr>
        <w:t>At the end of the meeting Aleck provided me with the following:</w:t>
      </w:r>
    </w:p>
    <w:p>
      <w:pPr>
        <w:pStyle w:val="Footer"/>
        <w:tabs>
          <w:tab w:val="clear" w:pos="4320"/>
          <w:tab w:val="clear" w:pos="8640"/>
        </w:tabs>
        <w:jc w:val="both"/>
        <w:rPr>
          <w:sz w:val="22"/>
        </w:rPr>
      </w:pPr>
      <w:r>
        <w:rPr>
          <w:sz w:val="22"/>
        </w:rPr>
      </w:r>
    </w:p>
    <w:p>
      <w:pPr>
        <w:pStyle w:val="Footer"/>
        <w:numPr>
          <w:ilvl w:val="0"/>
          <w:numId w:val="2"/>
        </w:numPr>
        <w:tabs>
          <w:tab w:val="clear" w:pos="4320"/>
          <w:tab w:val="clear" w:pos="8640"/>
        </w:tabs>
        <w:jc w:val="both"/>
        <w:rPr>
          <w:sz w:val="22"/>
        </w:rPr>
      </w:pPr>
      <w:r>
        <w:rPr>
          <w:sz w:val="22"/>
        </w:rPr>
        <w:t>Amex card</w:t>
      </w:r>
    </w:p>
    <w:p>
      <w:pPr>
        <w:pStyle w:val="Footer"/>
        <w:numPr>
          <w:ilvl w:val="0"/>
          <w:numId w:val="2"/>
        </w:numPr>
        <w:tabs>
          <w:tab w:val="clear" w:pos="4320"/>
          <w:tab w:val="clear" w:pos="8640"/>
        </w:tabs>
        <w:jc w:val="both"/>
        <w:rPr>
          <w:sz w:val="22"/>
        </w:rPr>
      </w:pPr>
      <w:r>
        <w:rPr>
          <w:sz w:val="22"/>
        </w:rPr>
        <w:t>security card – 70 York Street</w:t>
      </w:r>
    </w:p>
    <w:p>
      <w:pPr>
        <w:pStyle w:val="Footer"/>
        <w:numPr>
          <w:ilvl w:val="0"/>
          <w:numId w:val="2"/>
        </w:numPr>
        <w:tabs>
          <w:tab w:val="clear" w:pos="4320"/>
          <w:tab w:val="clear" w:pos="8640"/>
        </w:tabs>
        <w:jc w:val="both"/>
        <w:rPr>
          <w:sz w:val="22"/>
        </w:rPr>
      </w:pPr>
      <w:r>
        <w:rPr>
          <w:sz w:val="22"/>
        </w:rPr>
        <w:t>garage door opener – 70 York Street</w:t>
      </w:r>
    </w:p>
    <w:p>
      <w:pPr>
        <w:pStyle w:val="Footer"/>
        <w:numPr>
          <w:ilvl w:val="0"/>
          <w:numId w:val="2"/>
        </w:numPr>
        <w:tabs>
          <w:tab w:val="clear" w:pos="4320"/>
          <w:tab w:val="clear" w:pos="8640"/>
        </w:tabs>
        <w:jc w:val="both"/>
        <w:rPr>
          <w:sz w:val="22"/>
        </w:rPr>
      </w:pPr>
      <w:r>
        <w:rPr>
          <w:sz w:val="22"/>
        </w:rPr>
        <w:t>competition seminar tape (not played)</w:t>
      </w:r>
    </w:p>
    <w:p>
      <w:pPr>
        <w:pStyle w:val="Footer"/>
        <w:numPr>
          <w:ilvl w:val="0"/>
          <w:numId w:val="2"/>
        </w:numPr>
        <w:tabs>
          <w:tab w:val="clear" w:pos="4320"/>
          <w:tab w:val="clear" w:pos="8640"/>
        </w:tabs>
        <w:jc w:val="both"/>
        <w:rPr>
          <w:sz w:val="22"/>
        </w:rPr>
      </w:pPr>
      <w:r>
        <w:rPr>
          <w:sz w:val="22"/>
        </w:rPr>
        <w:t>meeting note book</w:t>
      </w:r>
    </w:p>
    <w:p>
      <w:pPr>
        <w:pStyle w:val="Footer"/>
        <w:numPr>
          <w:ilvl w:val="0"/>
          <w:numId w:val="2"/>
        </w:numPr>
        <w:tabs>
          <w:tab w:val="clear" w:pos="4320"/>
          <w:tab w:val="clear" w:pos="8640"/>
        </w:tabs>
        <w:jc w:val="both"/>
        <w:rPr>
          <w:sz w:val="22"/>
        </w:rPr>
      </w:pPr>
      <w:r>
        <w:rPr>
          <w:sz w:val="22"/>
        </w:rPr>
        <w:t>binder of legislation</w:t>
      </w:r>
    </w:p>
    <w:p>
      <w:pPr>
        <w:pStyle w:val="Footer"/>
        <w:numPr>
          <w:ilvl w:val="0"/>
          <w:numId w:val="2"/>
        </w:numPr>
        <w:tabs>
          <w:tab w:val="clear" w:pos="4320"/>
          <w:tab w:val="clear" w:pos="8640"/>
        </w:tabs>
        <w:jc w:val="both"/>
        <w:rPr>
          <w:sz w:val="22"/>
        </w:rPr>
      </w:pPr>
      <w:r>
        <w:rPr>
          <w:sz w:val="22"/>
        </w:rPr>
        <w:t>bundle of loose papers</w:t>
      </w:r>
    </w:p>
    <w:p>
      <w:pPr>
        <w:pStyle w:val="Footer"/>
        <w:numPr>
          <w:ilvl w:val="0"/>
          <w:numId w:val="2"/>
        </w:numPr>
        <w:tabs>
          <w:tab w:val="clear" w:pos="4320"/>
          <w:tab w:val="clear" w:pos="8640"/>
        </w:tabs>
        <w:jc w:val="both"/>
        <w:rPr>
          <w:sz w:val="22"/>
        </w:rPr>
      </w:pPr>
      <w:r>
        <w:rPr>
          <w:sz w:val="22"/>
        </w:rPr>
        <w:t>IMO booklet re: interjurisdictional Trade &amp; System Operation Reliability</w:t>
      </w:r>
    </w:p>
    <w:p>
      <w:pPr>
        <w:pStyle w:val="Footer"/>
        <w:numPr>
          <w:ilvl w:val="0"/>
          <w:numId w:val="2"/>
        </w:numPr>
        <w:tabs>
          <w:tab w:val="clear" w:pos="4320"/>
          <w:tab w:val="clear" w:pos="8640"/>
        </w:tabs>
        <w:jc w:val="both"/>
        <w:rPr>
          <w:sz w:val="22"/>
        </w:rPr>
      </w:pPr>
      <w:r>
        <w:rPr>
          <w:sz w:val="22"/>
        </w:rPr>
        <w:t>cell phone</w:t>
      </w:r>
    </w:p>
    <w:p>
      <w:pPr>
        <w:pStyle w:val="Footer"/>
        <w:numPr>
          <w:ilvl w:val="0"/>
          <w:numId w:val="2"/>
        </w:numPr>
        <w:tabs>
          <w:tab w:val="clear" w:pos="4320"/>
          <w:tab w:val="clear" w:pos="8640"/>
        </w:tabs>
        <w:jc w:val="both"/>
        <w:rPr>
          <w:sz w:val="22"/>
        </w:rPr>
      </w:pPr>
      <w:r>
        <w:rPr>
          <w:sz w:val="22"/>
        </w:rPr>
        <w:t>seminar materials received from Consulate General</w:t>
      </w:r>
    </w:p>
    <w:p>
      <w:pPr>
        <w:pStyle w:val="Footer"/>
        <w:tabs>
          <w:tab w:val="clear" w:pos="4320"/>
          <w:tab w:val="clear" w:pos="8640"/>
        </w:tabs>
        <w:ind w:start="360" w:end="0"/>
        <w:jc w:val="both"/>
        <w:rPr>
          <w:sz w:val="22"/>
        </w:rPr>
      </w:pPr>
      <w:r>
        <w:rPr>
          <w:sz w:val="22"/>
        </w:rPr>
        <w:t>*laptop and Enron Corp. security card in desk</w:t>
      </w:r>
    </w:p>
    <w:p>
      <w:pPr>
        <w:pStyle w:val="Footer"/>
        <w:tabs>
          <w:tab w:val="clear" w:pos="4320"/>
          <w:tab w:val="clear" w:pos="8640"/>
        </w:tabs>
        <w:jc w:val="both"/>
        <w:rPr>
          <w:sz w:val="18"/>
        </w:rPr>
      </w:pPr>
      <w:r>
        <w:rPr>
          <w:sz w:val="18"/>
        </w:rPr>
      </w:r>
    </w:p>
    <w:p>
      <w:pPr>
        <w:pStyle w:val="Footer"/>
        <w:tabs>
          <w:tab w:val="clear" w:pos="4320"/>
          <w:tab w:val="clear" w:pos="8640"/>
        </w:tabs>
        <w:jc w:val="both"/>
        <w:rPr>
          <w:sz w:val="18"/>
        </w:rPr>
      </w:pPr>
      <w:r>
        <w:rPr>
          <w:sz w:val="18"/>
        </w:rPr>
      </w:r>
    </w:p>
    <w:p>
      <w:pPr>
        <w:pStyle w:val="Footer"/>
        <w:tabs>
          <w:tab w:val="clear" w:pos="4320"/>
          <w:tab w:val="clear" w:pos="8640"/>
        </w:tabs>
        <w:jc w:val="both"/>
        <w:rPr>
          <w:sz w:val="22"/>
        </w:rPr>
      </w:pPr>
      <w:r>
        <w:rPr>
          <w:sz w:val="22"/>
        </w:rPr>
        <w:tab/>
        <w:tab/>
        <w:tab/>
        <w:t>*</w:t>
        <w:tab/>
        <w:tab/>
        <w:tab/>
        <w:t>*</w:t>
        <w:tab/>
        <w:tab/>
        <w:tab/>
        <w:t>*</w:t>
      </w:r>
    </w:p>
    <w:p>
      <w:pPr>
        <w:pStyle w:val="Footer"/>
        <w:tabs>
          <w:tab w:val="clear" w:pos="4320"/>
          <w:tab w:val="clear" w:pos="8640"/>
        </w:tabs>
        <w:jc w:val="both"/>
        <w:rPr>
          <w:sz w:val="22"/>
        </w:rPr>
      </w:pPr>
      <w:r>
        <w:rPr>
          <w:sz w:val="22"/>
        </w:rPr>
      </w:r>
    </w:p>
    <w:p>
      <w:pPr>
        <w:pStyle w:val="Footer"/>
        <w:tabs>
          <w:tab w:val="clear" w:pos="4320"/>
          <w:tab w:val="clear" w:pos="8640"/>
        </w:tabs>
        <w:jc w:val="both"/>
        <w:rPr>
          <w:sz w:val="22"/>
        </w:rPr>
      </w:pPr>
      <w:r>
        <w:rPr>
          <w:sz w:val="22"/>
        </w:rPr>
        <w:t>I will have my assistant set up a time to discuss the foregoing.  It may also be a good time to discuss a replacement for Aleck.</w:t>
      </w:r>
    </w:p>
    <w:p>
      <w:pPr>
        <w:pStyle w:val="Footer"/>
        <w:tabs>
          <w:tab w:val="clear" w:pos="4320"/>
          <w:tab w:val="clear" w:pos="8640"/>
        </w:tabs>
        <w:jc w:val="both"/>
        <w:rPr>
          <w:sz w:val="22"/>
        </w:rPr>
      </w:pPr>
      <w:r>
        <w:rPr>
          <w:sz w:val="22"/>
        </w:rPr>
      </w:r>
    </w:p>
    <w:p>
      <w:pPr>
        <w:pStyle w:val="Footer"/>
        <w:tabs>
          <w:tab w:val="clear" w:pos="4320"/>
          <w:tab w:val="clear" w:pos="8640"/>
        </w:tabs>
        <w:jc w:val="both"/>
        <w:rPr>
          <w:sz w:val="22"/>
        </w:rPr>
      </w:pPr>
      <w:r>
        <w:rPr>
          <w:sz w:val="22"/>
        </w:rPr>
        <w:t>Regards,</w:t>
      </w:r>
    </w:p>
    <w:p>
      <w:pPr>
        <w:pStyle w:val="Footer"/>
        <w:tabs>
          <w:tab w:val="clear" w:pos="4320"/>
          <w:tab w:val="clear" w:pos="8640"/>
        </w:tabs>
        <w:jc w:val="both"/>
        <w:rPr>
          <w:sz w:val="22"/>
        </w:rPr>
      </w:pPr>
      <w:r>
        <w:rPr>
          <w:sz w:val="22"/>
        </w:rPr>
      </w:r>
    </w:p>
    <w:p>
      <w:pPr>
        <w:pStyle w:val="Footer"/>
        <w:tabs>
          <w:tab w:val="clear" w:pos="4320"/>
          <w:tab w:val="clear" w:pos="8640"/>
        </w:tabs>
        <w:jc w:val="both"/>
        <w:rPr>
          <w:sz w:val="22"/>
        </w:rPr>
      </w:pPr>
      <w:r>
        <w:rPr>
          <w:sz w:val="22"/>
        </w:rPr>
      </w:r>
    </w:p>
    <w:p>
      <w:pPr>
        <w:pStyle w:val="Footer"/>
        <w:tabs>
          <w:tab w:val="clear" w:pos="4320"/>
          <w:tab w:val="clear" w:pos="8640"/>
        </w:tabs>
        <w:jc w:val="both"/>
        <w:rPr>
          <w:sz w:val="22"/>
        </w:rPr>
      </w:pPr>
      <w:r>
        <w:rPr>
          <w:sz w:val="22"/>
        </w:rPr>
        <w:t>CJG</w:t>
      </w:r>
    </w:p>
    <w:p>
      <w:pPr>
        <w:pStyle w:val="Footer"/>
        <w:tabs>
          <w:tab w:val="clear" w:pos="4320"/>
          <w:tab w:val="clear" w:pos="8640"/>
        </w:tabs>
        <w:jc w:val="both"/>
        <w:rPr>
          <w:sz w:val="18"/>
        </w:rPr>
      </w:pPr>
      <w:r>
        <w:rPr>
          <w:sz w:val="18"/>
        </w:rPr>
      </w:r>
    </w:p>
    <w:p>
      <w:pPr>
        <w:pStyle w:val="Footer"/>
        <w:tabs>
          <w:tab w:val="clear" w:pos="4320"/>
          <w:tab w:val="clear" w:pos="8640"/>
        </w:tabs>
        <w:jc w:val="both"/>
        <w:rPr>
          <w:sz w:val="18"/>
        </w:rPr>
      </w:pPr>
      <w:r>
        <w:rPr>
          <w:sz w:val="18"/>
        </w:rPr>
      </w:r>
    </w:p>
    <w:p>
      <w:pPr>
        <w:pStyle w:val="Footer"/>
        <w:tabs>
          <w:tab w:val="clear" w:pos="4320"/>
          <w:tab w:val="clear" w:pos="8640"/>
        </w:tabs>
        <w:jc w:val="both"/>
        <w:rPr>
          <w:sz w:val="18"/>
        </w:rPr>
      </w:pPr>
      <w:r>
        <w:rPr>
          <w:sz w:val="18"/>
        </w:rPr>
        <w:t>cc.</w:t>
        <w:tab/>
        <w:t>Rick Shapiro</w:t>
      </w:r>
    </w:p>
    <w:p>
      <w:pPr>
        <w:pStyle w:val="Footer"/>
        <w:tabs>
          <w:tab w:val="clear" w:pos="4320"/>
          <w:tab w:val="clear" w:pos="8640"/>
        </w:tabs>
        <w:jc w:val="both"/>
        <w:rPr>
          <w:sz w:val="18"/>
        </w:rPr>
      </w:pPr>
      <w:r>
        <w:rPr>
          <w:sz w:val="18"/>
        </w:rPr>
        <w:tab/>
        <w:t>Derek Flaman</w:t>
      </w:r>
    </w:p>
    <w:p>
      <w:pPr>
        <w:pStyle w:val="Footer"/>
        <w:tabs>
          <w:tab w:val="clear" w:pos="4320"/>
          <w:tab w:val="clear" w:pos="8640"/>
        </w:tabs>
        <w:jc w:val="both"/>
        <w:rPr>
          <w:u w:val="single"/>
        </w:rPr>
      </w:pPr>
      <w:r>
        <w:rPr>
          <w:u w:val="single"/>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0"/>
      </w:rPr>
    </w:pPr>
    <w:r>
      <w:rPr>
        <w:sz w:val="20"/>
      </w:rPr>
      <w:t>Page 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2001-09-24T18:40:00Z</dcterms:created>
  <dc:creator>lassaf</dc:creator>
  <dc:description/>
  <dc:language>en-CA</dc:language>
  <cp:lastModifiedBy>lassaf</cp:lastModifiedBy>
  <cp:lastPrinted>2001-09-24T17:33:00Z</cp:lastPrinted>
  <dcterms:modified xsi:type="dcterms:W3CDTF">2001-09-25T10:33:00Z</dcterms:modified>
  <cp:revision>10</cp:revision>
  <dc:subject/>
  <dc:title>Better, Faster, Simpler Memo </dc:title>
</cp:coreProperties>
</file>