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Senior Director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The Senior Director level can only be used for non-commercial jobs (Commercial Support, Technical and Specialized Technical).  Individual must report directly to the Business Unit Head or senior-level management within a business unit.  This decision-maker sets the direction for his/her organization, sets goals for the organization, determines how to execute the business strategy and adjusts resources to ensure success.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Internal Candidates: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Most current PRC rating must be in the top two performance categories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Must be recognized as an expert in his/her field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Must have broad organizational scope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Not ready for nomination to VP (i.e., lack of track record in position), or, not able to nominate to VP because of timing (i.e., prior to year-end)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Promotions to Senior Director will only be considered/approved at the ETS-wide mid-year and year-end PRC meetings (CEO and Direct Reports)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External Candidates: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OK to hire at the Senior Director level if criteria #2 and #3 above are met and ETS executive team approves (CEO and Direct Reports)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bCs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2001-07-05T11:09:00Z</dcterms:created>
  <dc:creator>ENRON INTERNATIONAL</dc:creator>
  <dc:description/>
  <dc:language>en-CA</dc:language>
  <cp:lastModifiedBy>gsmith7</cp:lastModifiedBy>
  <cp:lastPrinted>2001-03-14T12:24:00Z</cp:lastPrinted>
  <dcterms:modified xsi:type="dcterms:W3CDTF">2001-07-05T11:09:00Z</dcterms:modified>
  <cp:revision>2</cp:revision>
  <dc:subject/>
  <dc:title>Senior Director</dc:title>
</cp:coreProperties>
</file>