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Summary of MTBE Markup</w:t>
      </w:r>
    </w:p>
    <w:p>
      <w:pPr>
        <w:pStyle w:val="Normal"/>
        <w:rPr/>
      </w:pPr>
      <w:r>
        <w:rPr/>
        <w:t>Senate Environment &amp; Public Works Committee -- September 7, 2000</w:t>
      </w:r>
    </w:p>
    <w:p>
      <w:pPr>
        <w:pStyle w:val="Normal"/>
        <w:pBdr>
          <w:bottom w:val="single" w:sz="12" w:space="1" w:color="000000"/>
        </w:pBdr>
        <w:rPr/>
      </w:pPr>
      <w:r>
        <w:rPr/>
      </w:r>
    </w:p>
    <w:p>
      <w:pPr>
        <w:pStyle w:val="Normal"/>
        <w:spacing w:lineRule="atLeast" w:line="240"/>
        <w:rPr>
          <w:lang w:eastAsia="en-US"/>
        </w:rPr>
      </w:pPr>
      <w:r>
        <w:rPr>
          <w:lang w:eastAsia="en-US"/>
        </w:rPr>
      </w:r>
    </w:p>
    <w:p>
      <w:pPr>
        <w:pStyle w:val="Normal"/>
        <w:spacing w:lineRule="atLeast" w:line="240"/>
        <w:rPr>
          <w:lang w:eastAsia="en-US"/>
        </w:rPr>
      </w:pPr>
      <w:r>
        <w:rPr>
          <w:lang w:eastAsia="en-US"/>
        </w:rPr>
        <w:t>Amendments:</w:t>
      </w:r>
    </w:p>
    <w:p>
      <w:pPr>
        <w:pStyle w:val="Normal"/>
        <w:spacing w:lineRule="atLeast" w:line="240"/>
        <w:rPr>
          <w:lang w:eastAsia="en-US"/>
        </w:rPr>
      </w:pPr>
      <w:r>
        <w:rPr>
          <w:lang w:eastAsia="en-US"/>
        </w:rPr>
      </w:r>
    </w:p>
    <w:p>
      <w:pPr>
        <w:pStyle w:val="Normal"/>
        <w:spacing w:lineRule="atLeast" w:line="240"/>
        <w:rPr>
          <w:lang w:eastAsia="en-US"/>
        </w:rPr>
      </w:pPr>
      <w:r>
        <w:rPr>
          <w:lang w:eastAsia="en-US"/>
        </w:rPr>
        <w:t>Managers Amendment:   accepted by voice vote and incorporated into the original text of S. 2962.</w:t>
      </w:r>
    </w:p>
    <w:p>
      <w:pPr>
        <w:pStyle w:val="Normal"/>
        <w:spacing w:lineRule="atLeast" w:line="240"/>
        <w:rPr>
          <w:lang w:eastAsia="en-US"/>
        </w:rPr>
      </w:pPr>
      <w:r>
        <w:rPr>
          <w:lang w:eastAsia="en-US"/>
        </w:rPr>
      </w:r>
    </w:p>
    <w:p>
      <w:pPr>
        <w:pStyle w:val="Normal"/>
        <w:spacing w:lineRule="atLeast" w:line="240"/>
        <w:rPr>
          <w:color w:val="000000"/>
          <w:lang w:eastAsia="en-US"/>
        </w:rPr>
      </w:pPr>
      <w:r>
        <w:rPr>
          <w:color w:val="000000"/>
          <w:lang w:eastAsia="en-US"/>
        </w:rPr>
        <w:t xml:space="preserve">Inhofe #14 - If a State waives the Clean Alternative Fuels Program (CAFP), the overall nationwide target levels of the program should be adjusted.  </w:t>
      </w:r>
      <w:r>
        <w:rPr>
          <w:i/>
          <w:color w:val="000000"/>
          <w:lang w:eastAsia="en-US"/>
        </w:rPr>
        <w:t>Accepted by voice vote.</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Inhofe #15 - Strike language giving EPA authority to regulate new emissions performance and fuel standards for motor vehicles.   Inhofe claimed the Smith bill would impose broad new authority without hearings before Congress, and potentially be a way for banning the internal combustion engine altogether.  Chairman Smith said this is an unintended consequence, and agreed to work on the problem before floor consideration. </w:t>
      </w:r>
      <w:r>
        <w:rPr>
          <w:i/>
          <w:color w:val="000000"/>
          <w:lang w:eastAsia="en-US"/>
        </w:rPr>
        <w:t xml:space="preserve"> Amendment withdrawn.</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Inhofe #9 - Liability relief for producers/distributors of MTBE, as long as they did not mishandle the product in violation of the law.  Inhofe said we need to protect against trial lawyer abuse, but Boxer opposed, saying oil companies so must pay their fair share in cleanup.  Smith says this is similar to a Superfund carve-out, which many Republicans oppose.  </w:t>
      </w:r>
      <w:r>
        <w:rPr>
          <w:i/>
          <w:color w:val="000000"/>
          <w:lang w:eastAsia="en-US"/>
        </w:rPr>
        <w:t>Defeated by voice vote.</w:t>
      </w:r>
      <w:r>
        <w:rPr>
          <w:color w:val="000000"/>
          <w:lang w:eastAsia="en-US"/>
        </w:rPr>
        <w:t xml:space="preserve"> </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Inhofe #12 -  Before mandating CAFP (ethanol), direct a comprehensive study first to examine the effects of CAFP additives.  Need to avoid the same mistakes made in the CAA that led to the use of MTBE. </w:t>
      </w:r>
      <w:r>
        <w:rPr>
          <w:i/>
          <w:color w:val="000000"/>
          <w:lang w:eastAsia="en-US"/>
        </w:rPr>
        <w:t>Amendment withdrawn.</w:t>
      </w:r>
    </w:p>
    <w:p>
      <w:pPr>
        <w:pStyle w:val="Normal"/>
        <w:spacing w:lineRule="atLeast" w:line="240"/>
        <w:rPr>
          <w:i/>
          <w:i/>
          <w:color w:val="000000"/>
          <w:lang w:eastAsia="en-US"/>
        </w:rPr>
      </w:pPr>
      <w:r>
        <w:rPr>
          <w:i/>
          <w:color w:val="000000"/>
          <w:lang w:eastAsia="en-US"/>
        </w:rPr>
      </w:r>
    </w:p>
    <w:p>
      <w:pPr>
        <w:pStyle w:val="Normal"/>
        <w:spacing w:lineRule="atLeast" w:line="240"/>
        <w:rPr>
          <w:color w:val="000000"/>
          <w:lang w:eastAsia="en-US"/>
        </w:rPr>
      </w:pPr>
      <w:r>
        <w:rPr>
          <w:color w:val="000000"/>
          <w:lang w:eastAsia="en-US"/>
        </w:rPr>
        <w:t xml:space="preserve">Inhofe #4 – Additional requirements examining the legislation’s impact on adequacy of national fuel supply and prices.  Refiners did not plan for this bill in their capital budgets, so we need to make sure that this is not the “straw that breaks camels back” financially. </w:t>
      </w:r>
      <w:r>
        <w:rPr>
          <w:i/>
          <w:color w:val="000000"/>
          <w:lang w:eastAsia="en-US"/>
        </w:rPr>
        <w:t>Amendment withdrawn (plan to offer on Senate floor).</w:t>
      </w:r>
    </w:p>
    <w:p>
      <w:pPr>
        <w:pStyle w:val="Normal"/>
        <w:spacing w:lineRule="atLeast" w:line="240"/>
        <w:rPr>
          <w:color w:val="000000"/>
          <w:lang w:eastAsia="en-US"/>
        </w:rPr>
      </w:pPr>
      <w:r>
        <w:rPr>
          <w:color w:val="000000"/>
          <w:lang w:eastAsia="en-US"/>
        </w:rPr>
      </w:r>
    </w:p>
    <w:p>
      <w:pPr>
        <w:pStyle w:val="BodyText"/>
        <w:rPr/>
      </w:pPr>
      <w:r>
        <w:rPr/>
        <w:t xml:space="preserve">Bennett #1 – Before CAFP mandate can go into effect, require a scientific study of all additives to be performed within 2 years.  Definitive action is needed by EPA before an MTBE mandate is replaced by an ethanol mandate.  </w:t>
      </w:r>
      <w:r>
        <w:rPr>
          <w:i/>
        </w:rPr>
        <w:t>Defeated by voice vote.</w:t>
      </w:r>
    </w:p>
    <w:p>
      <w:pPr>
        <w:pStyle w:val="Normal"/>
        <w:spacing w:lineRule="atLeast" w:line="240"/>
        <w:rPr>
          <w:i/>
          <w:i/>
          <w:color w:val="000000"/>
          <w:lang w:eastAsia="en-US"/>
        </w:rPr>
      </w:pPr>
      <w:r>
        <w:rPr>
          <w:i/>
          <w:color w:val="000000"/>
          <w:lang w:eastAsia="en-US"/>
        </w:rPr>
      </w:r>
    </w:p>
    <w:p>
      <w:pPr>
        <w:pStyle w:val="Normal"/>
        <w:spacing w:lineRule="atLeast" w:line="240"/>
        <w:rPr>
          <w:color w:val="000000"/>
          <w:lang w:eastAsia="en-US"/>
        </w:rPr>
      </w:pPr>
      <w:r>
        <w:rPr>
          <w:color w:val="000000"/>
          <w:lang w:eastAsia="en-US"/>
        </w:rPr>
        <w:t xml:space="preserve">Bennett #2 – Authorize additional LUST funds. </w:t>
      </w:r>
      <w:r>
        <w:rPr>
          <w:i/>
          <w:lang w:eastAsia="en-US"/>
        </w:rPr>
        <w:t>Defeated</w:t>
      </w:r>
      <w:r>
        <w:rPr>
          <w:i/>
        </w:rPr>
        <w:t xml:space="preserve"> by voice vote</w:t>
      </w:r>
      <w:r>
        <w:rPr>
          <w:i/>
          <w:lang w:eastAsia="en-US"/>
        </w:rPr>
        <w:t>.</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Voinovich – discussion of the impact of an MTBE ban coupled with an ethanol mandate and ongoing ethanol tax credit on the national highway trust fund.  Impact could be almost $400 million per year initially, and more as the mandate level increase.  Voinovich received assurances from Chairman Smith and committee ranking Democrat Max Baucus to work with the Senate Finance Committee to shift a portion of ethanol tax revenue from a general fund allocation to the highway trust fund.</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Hutchison #1 - Establish a transition retrofit fund for MTBE producers to produce iso-octane or other related clean fuel additive; applications managed by DOE.  It is irresponsible to wipe out MTBE without exploring cost-effective alternatives.  Smith agreed that transition is needed, but said MTBE producers need to work to accept a MTBE ban if a transition fund is authorized.  Defeated by voice vote, with agreement to work on.</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z w:val="20"/>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2000-09-08T12:03:00Z</dcterms:created>
  <dc:creator>Jeffrey Keeler</dc:creator>
  <dc:description/>
  <dc:language>en-CA</dc:language>
  <cp:lastModifiedBy>Jeffrey Keeler</cp:lastModifiedBy>
  <dcterms:modified xsi:type="dcterms:W3CDTF">2000-09-08T12:03:00Z</dcterms:modified>
  <cp:revision>2</cp:revision>
  <dc:subject/>
  <dc:title>Summary of MTBE Markup</dc:title>
</cp:coreProperties>
</file>