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rPr/>
      </w:pPr>
      <w:r>
        <w:rPr/>
      </w:r>
    </w:p>
    <w:p>
      <w:pPr>
        <w:pStyle w:val="BodyText"/>
        <w:spacing w:lineRule="auto" w:line="360"/>
        <w:rPr/>
      </w:pPr>
      <w:r>
        <w:rPr/>
        <w:t xml:space="preserve">On August 18, 2000, Enron North America Corp.(“ENA”) and Enasco LLC (an Enron special purpose company) entered into several contracts with subsidiaries of Sempra Energy Trading (collectively “Sempra”).  These contracts involved the supply of coal feedstock for and the operation of two synthetic coal manufacturing facilities located in Newport News, Virginia. More specifically, the contracts executed by the parties included Coal Purchase Agreements (“CPA”) which provided for delivery of 2 million tons of coal feedstock per year by ENA until the year 2007. ENA also entered into agreements to market, on behalf of Sempra, the synfuel created at the two facilities. Enron Corp. guaranteed ENA’s and Enasco’s payments when due (including damages) up to the contractual cap of $140 million. </w:t>
      </w:r>
    </w:p>
    <w:p>
      <w:pPr>
        <w:pStyle w:val="BodyText"/>
        <w:spacing w:lineRule="auto" w:line="360"/>
        <w:rPr/>
      </w:pPr>
      <w:r>
        <w:rPr/>
        <w:t>The two synfuel manufacturing facilities would continue to be owned by Sempra.  Sempra guaranteed payment when due from its subsidiaries (including damages) up to the contractual cap of $50 million.</w:t>
      </w:r>
    </w:p>
    <w:p>
      <w:pPr>
        <w:pStyle w:val="BodyText"/>
        <w:spacing w:lineRule="auto" w:line="360"/>
        <w:rPr/>
      </w:pPr>
      <w:r>
        <w:rPr/>
        <w:t>These synfuel transactions were tax driven by Section 29 of the Internal Revenue Code which  offers substantial tax credits for the production of qualified synthetic fuel.  The provision is controversial, anything but clear and continues, on an almost daily basis, to be hotly debated and lobbied.  Sempra’s tax advisor (Richard Costen of Fulbright &amp; Jaworski) was very conservative in his tax advice to Sempra recommending strict compliance with certain Private Letter Rulings (“PLR”) Sempra received from the IRS.  These PLR’s referred to the use of “fine coal screenings” as feedstock.  This term is undefined either in the PLR’s or in the tax code. The size and size distribution criteria for the feedstock described below reflect Sempra’s interpretation of what constitutes a “coal fine.” It does not necessarily reflect the industry standard or the current state of the IRS’ interpretation.</w:t>
      </w:r>
    </w:p>
    <w:p>
      <w:pPr>
        <w:pStyle w:val="BodyText"/>
        <w:spacing w:lineRule="auto" w:line="360"/>
        <w:rPr/>
      </w:pPr>
      <w:r>
        <w:rPr/>
        <w:t xml:space="preserve">Sempra contends that the coal provided by ENA did not meet the CPA’s specifications for: (1) size and (2) size distribution and, therefore, ENA breached the parties’ contracts and Sempra is entitled to its damages. Sempra’s damage claim is primarily for lost tax credits.The contracts make clear that these are recoverable damages for breach of contract.  The tax credits Sempra allegedly expected to receive exceeded $300 million. Sempra’s damages are capped at $140 million. This number is dramatically reduced by mitigation arguments, the changes in the IRS’s position and discounting to present value. </w:t>
      </w:r>
    </w:p>
    <w:p>
      <w:pPr>
        <w:pStyle w:val="BodyText"/>
        <w:spacing w:lineRule="auto" w:line="360"/>
        <w:rPr/>
      </w:pPr>
      <w:r>
        <w:rPr/>
        <w:t xml:space="preserve">At the same time, ENA has claimed damages approaching the $50 million cap based on the argument that Sempra wrongfully rejected Enron’s coal and repudiated the contract.  ENA’s damages are based on advantageous market movement of the spread between coal and any synfuel prices since the contracts were signed.  </w:t>
      </w:r>
    </w:p>
    <w:p>
      <w:pPr>
        <w:pStyle w:val="BodyText"/>
        <w:tabs>
          <w:tab w:val="clear" w:pos="720"/>
          <w:tab w:val="left" w:pos="1350" w:leader="none"/>
        </w:tabs>
        <w:spacing w:lineRule="auto" w:line="360"/>
        <w:rPr/>
      </w:pPr>
      <w:r>
        <w:rPr/>
        <w:t xml:space="preserve">There is no dispute that the coal delivered to the physical site of the synfuel facilities (the “Site”) was larger than the size specified by the CPA and other agreements.  The main issue in the lawsuit is whether the specifications had to be met at the time the coal reached the Site or, as the CPA expressly provides, at a point after it went through a coal crusher which is part of each synfuel facility.  Enron claims the contract clearly allows it to use the facilities’ crushers to meet the size requirement, Sempra says it was not. </w:t>
      </w:r>
    </w:p>
    <w:p>
      <w:pPr>
        <w:pStyle w:val="BodyText"/>
        <w:tabs>
          <w:tab w:val="clear" w:pos="720"/>
          <w:tab w:val="left" w:pos="1350" w:leader="none"/>
        </w:tabs>
        <w:spacing w:lineRule="auto" w:line="360"/>
        <w:rPr/>
      </w:pPr>
      <w:r>
        <w:rPr/>
        <w:t>To support its position, Enron relies on the definitions and terms of the CPA. The CPA defines “Delivery Point as “the Belt Scale of the Facility.” “Belt Scale” is defined in the CPA as:</w:t>
      </w:r>
    </w:p>
    <w:p>
      <w:pPr>
        <w:pStyle w:val="BodyTextIndent"/>
        <w:ind w:hanging="0" w:start="1440" w:end="720"/>
        <w:rPr/>
      </w:pPr>
      <w:r>
        <w:rPr/>
        <w:t>the certified weight measuring device which is made a part of the conveyor belt system of the Facility which is used to transfer Coal Feedstock between the receiving hopper (</w:t>
      </w:r>
      <w:r>
        <w:rPr>
          <w:u w:val="single"/>
        </w:rPr>
        <w:t>downstream of the crusher</w:t>
      </w:r>
      <w:r>
        <w:rPr/>
        <w:t>) and the mixer (upstream of the blender and the briquetter).</w:t>
      </w:r>
    </w:p>
    <w:p>
      <w:pPr>
        <w:pStyle w:val="BodyTextIndent"/>
        <w:spacing w:lineRule="auto" w:line="360"/>
        <w:ind w:hanging="0" w:start="0" w:end="720"/>
        <w:rPr/>
      </w:pPr>
      <w:r>
        <w:rPr/>
        <w:t xml:space="preserve">The CPA further makes provides: “During the Term Seller agrees to deliver to Buyer and Buyer agrees to accept from Seller at the </w:t>
      </w:r>
      <w:r>
        <w:rPr>
          <w:b/>
          <w:bCs/>
        </w:rPr>
        <w:t>Delivery Point</w:t>
      </w:r>
      <w:r>
        <w:rPr/>
        <w:t xml:space="preserve"> all </w:t>
      </w:r>
      <w:r>
        <w:rPr>
          <w:b/>
          <w:bCs/>
        </w:rPr>
        <w:t>the Coal Feedstock</w:t>
      </w:r>
      <w:r>
        <w:rPr/>
        <w:t xml:space="preserve"> required by the Facility to operate pursuant to the terms of the Operating Agreement.” (emphasis added). It also states that: “Buyer shall cause </w:t>
      </w:r>
      <w:r>
        <w:rPr>
          <w:b/>
          <w:bCs/>
        </w:rPr>
        <w:t>all Coal Feedstock delivered</w:t>
      </w:r>
      <w:r>
        <w:rPr>
          <w:u w:val="single"/>
        </w:rPr>
        <w:t xml:space="preserve"> </w:t>
      </w:r>
      <w:r>
        <w:rPr>
          <w:b/>
          <w:bCs/>
        </w:rPr>
        <w:t>pursuant to this Agreement to be</w:t>
      </w:r>
      <w:r>
        <w:rPr/>
        <w:t xml:space="preserve"> weighed on the Belt Scale and periodically </w:t>
      </w:r>
      <w:r>
        <w:rPr>
          <w:b/>
          <w:bCs/>
        </w:rPr>
        <w:t>sampled on the same belt as the Belt Scale</w:t>
      </w:r>
      <w:r>
        <w:rPr/>
        <w:t>.”  (emphasis added)</w:t>
      </w:r>
    </w:p>
    <w:p>
      <w:pPr>
        <w:pStyle w:val="BodyText"/>
        <w:spacing w:lineRule="auto" w:line="360"/>
        <w:rPr/>
      </w:pPr>
      <w:r>
        <w:rPr/>
        <w:t>Thus, the Belt Scale (which is the Delivery Point and the place where weighing and sampling for conformance with the CPA’s specifications arguably occurs)  is clearly defined to be after the [coal] crusher.  ENA maintains that it had no obligation to met the CPA’s size requirements before the Delivery Point and that it could use the crusher to reduce the coal in size to ¾” x 0”.</w:t>
      </w:r>
    </w:p>
    <w:p>
      <w:pPr>
        <w:pStyle w:val="BodyText"/>
        <w:spacing w:lineRule="auto" w:line="360"/>
        <w:rPr/>
      </w:pPr>
      <w:r>
        <w:rPr/>
        <w:t>Sempra bases its position on: the definition of Coal Feedstock and  testimony from its people concerning the intent of the parties.</w:t>
      </w:r>
    </w:p>
    <w:p>
      <w:pPr>
        <w:pStyle w:val="BodyText"/>
        <w:spacing w:lineRule="auto" w:line="360"/>
        <w:rPr/>
      </w:pPr>
      <w:r>
        <w:rPr/>
      </w:r>
    </w:p>
    <w:p>
      <w:pPr>
        <w:pStyle w:val="BodyText"/>
        <w:spacing w:lineRule="auto" w:line="360"/>
        <w:rPr/>
      </w:pPr>
      <w:r>
        <w:rPr/>
        <w:t>The definition of Coal Feedstock is:</w:t>
      </w:r>
    </w:p>
    <w:p>
      <w:pPr>
        <w:pStyle w:val="BodyText"/>
        <w:spacing w:lineRule="auto" w:line="240"/>
        <w:ind w:hanging="0" w:start="1440" w:end="0"/>
        <w:rPr/>
      </w:pPr>
      <w:r>
        <w:rPr>
          <w:b/>
          <w:bCs/>
        </w:rPr>
        <w:t>coal feedstock</w:t>
      </w:r>
      <w:r>
        <w:rPr/>
        <w:t xml:space="preserve"> and related materials </w:t>
      </w:r>
      <w:r>
        <w:rPr>
          <w:b/>
          <w:bCs/>
        </w:rPr>
        <w:t>which were separated from run of mine or similar coal during prior cleaning, screening or preparation operations</w:t>
      </w:r>
      <w:r>
        <w:rPr/>
        <w:t xml:space="preserve"> and which will be chemically combined at the Facility with a binder material in order to produce Synthetic Fuel; provided, however, in no event shall the term “Coal Feedstock” include any previously produced Synthetic Fuel.  (emphasis added)</w:t>
      </w:r>
    </w:p>
    <w:p>
      <w:pPr>
        <w:pStyle w:val="BodyText"/>
        <w:spacing w:lineRule="auto" w:line="360"/>
        <w:ind w:hanging="0" w:end="0"/>
        <w:rPr/>
      </w:pPr>
      <w:r>
        <w:rPr/>
        <w:t xml:space="preserve">Sempra claims that “prior cleaning, screening or preparation operations” which separate coal feedstock from run-of-mine coal occur at the mine site and do not include crushing using the synfuel facilities’ crusher. </w:t>
      </w:r>
    </w:p>
    <w:p>
      <w:pPr>
        <w:pStyle w:val="BodyText"/>
        <w:spacing w:lineRule="auto" w:line="360"/>
        <w:rPr/>
      </w:pPr>
      <w:r>
        <w:rPr/>
        <w:t>Moreover, Sempra’s witnesses have testified that it was clear throughout the lengthy negotiations leading up to the execution of the contracts, that this transaction was tax driven and that Sempra believed and stated that it needed the coal feedstock to arrive at the Site in conformance with the size specifications set forth in the CPA.  According to Sempra, using the facilities’ crusher destroyed Sempra’s tax position and that ENA knew that this would result from its actions. It is important to note that subsequent to Sempra first making this argument, the IRS issued a Revenue Procedure which allows crushing to create synfuel.  The Revenue Procedure does not expressly discuss where the crushing can properly occur. Most in the industry believe crushing on site to be acceptable.</w:t>
      </w:r>
    </w:p>
    <w:p>
      <w:pPr>
        <w:pStyle w:val="BodyText"/>
        <w:spacing w:lineRule="auto" w:line="360"/>
        <w:rPr/>
      </w:pPr>
      <w:r>
        <w:rPr/>
        <w:t xml:space="preserve">Sempra also argues that, even if the contract calls for determining compliance with the specifications after the crusher, it is impossible for the crushed coal to meet the size distribution requirements of the contracts.  In response, Enron argues that this has no material effect on performance and would not justify rejecting the coal.  Enron also argues that the requirements could be met on a monthly weighted average which is all that the contract required. </w:t>
      </w:r>
    </w:p>
    <w:p>
      <w:pPr>
        <w:pStyle w:val="BodyText"/>
        <w:spacing w:lineRule="auto" w:line="360" w:before="0" w:after="240"/>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ind w:start="-720" w:end="0"/>
      <w:rPr>
        <w:smallCaps/>
        <w:sz w:val="12"/>
      </w:rPr>
    </w:pPr>
    <w:r>
      <w:rPr>
        <w:smallCaps/>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ATTORNEY-CLIENT PRIVILEGED</w:t>
    </w:r>
  </w:p>
  <w:p>
    <w:pPr>
      <w:pStyle w:val="Header"/>
      <w:jc w:val="end"/>
      <w:rPr>
        <w:b/>
      </w:rPr>
    </w:pPr>
    <w:r>
      <w:rPr>
        <w:b/>
      </w:rPr>
      <w:t>WORK PRODUCT</w:t>
    </w:r>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0" w:after="480"/>
      <w:jc w:val="center"/>
      <w:outlineLvl w:val="0"/>
    </w:pPr>
    <w:rPr>
      <w:b/>
    </w:rPr>
  </w:style>
  <w:style w:type="paragraph" w:styleId="BodyText">
    <w:name w:val="Body Text"/>
    <w:basedOn w:val="Normal"/>
    <w:pPr>
      <w:spacing w:lineRule="auto" w:line="480"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ind w:hanging="360" w:start="360" w:end="0"/>
    </w:pPr>
    <w:rPr>
      <w:sz w:val="20"/>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firstLine="288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720" w:start="720" w:end="0"/>
    </w:pPr>
    <w:rPr/>
  </w:style>
  <w:style w:type="paragraph" w:styleId="BodyTextIndent">
    <w:name w:val="Body Text Indent"/>
    <w:basedOn w:val="BodyText"/>
    <w:pPr>
      <w:spacing w:lineRule="auto" w:line="240"/>
      <w:ind w:firstLine="720" w:start="720" w:end="720"/>
      <w:jc w:val="both"/>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lineRule="auto" w:line="720"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outlineLvl w:val="1"/>
    </w:pPr>
    <w:rPr>
      <w:b/>
      <w:u w:val="single"/>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CenterUnderlineNotBold">
    <w:name w:val="Center Underline Not Bold"/>
    <w:basedOn w:val="Heading"/>
    <w:qFormat/>
    <w:pPr>
      <w:spacing w:before="0" w:after="240"/>
    </w:pPr>
    <w:rPr>
      <w:b w:val="false"/>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2001-09-12T15:07:00Z</dcterms:created>
  <dc:creator>GAM</dc:creator>
  <dc:description/>
  <dc:language>en-CA</dc:language>
  <cp:lastModifiedBy>gbrownf</cp:lastModifiedBy>
  <cp:lastPrinted>2001-09-14T13:16:00Z</cp:lastPrinted>
  <dcterms:modified xsi:type="dcterms:W3CDTF">2001-09-14T15:46:00Z</dcterms:modified>
  <cp:revision>21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OFFICE - NONBILLABLE TIME</vt:lpwstr>
  </property>
  <property fmtid="{D5CDD505-2E9C-101B-9397-08002B2CF9AE}" pid="6" name="Client No.">
    <vt:lpwstr>999999</vt:lpwstr>
  </property>
  <property fmtid="{D5CDD505-2E9C-101B-9397-08002B2CF9AE}" pid="7" name="Date">
    <vt:lpwstr> </vt:lpwstr>
  </property>
  <property fmtid="{D5CDD505-2E9C-101B-9397-08002B2CF9AE}" pid="8" name="Doc Name">
    <vt:lpwstr> </vt:lpwstr>
  </property>
  <property fmtid="{D5CDD505-2E9C-101B-9397-08002B2CF9AE}" pid="9" name="Doc No.">
    <vt:lpwstr>NYOLIB1\GAM\202594.01(4CBM01!.DOC)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ADMINISTRATION - NEW YORK</vt:lpwstr>
  </property>
  <property fmtid="{D5CDD505-2E9C-101B-9397-08002B2CF9AE}" pid="15" name="Matter No.">
    <vt:lpwstr>4540</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