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Heading"/>
        <w:rPr/>
      </w:pPr>
      <w:r>
        <w:rPr/>
      </w:r>
    </w:p>
    <w:p>
      <w:pPr>
        <w:pStyle w:val="Heading"/>
        <w:rPr/>
      </w:pPr>
      <w:r>
        <w:rPr/>
        <w:t>UNITED STATES OF AMERICA</w:t>
      </w:r>
    </w:p>
    <w:p>
      <w:pPr>
        <w:pStyle w:val="Normal"/>
        <w:jc w:val="center"/>
        <w:rPr>
          <w:b/>
          <w:bCs/>
          <w:sz w:val="24"/>
          <w:szCs w:val="24"/>
        </w:rPr>
      </w:pPr>
      <w:r>
        <w:rPr>
          <w:b/>
          <w:bCs/>
          <w:sz w:val="24"/>
          <w:szCs w:val="24"/>
        </w:rPr>
        <w:t>BEFORE THE</w:t>
      </w:r>
    </w:p>
    <w:p>
      <w:pPr>
        <w:pStyle w:val="Normal"/>
        <w:jc w:val="center"/>
        <w:rPr>
          <w:b/>
          <w:bCs/>
          <w:sz w:val="24"/>
          <w:szCs w:val="24"/>
        </w:rPr>
      </w:pPr>
      <w:r>
        <w:rPr>
          <w:b/>
          <w:bCs/>
          <w:sz w:val="24"/>
          <w:szCs w:val="24"/>
        </w:rPr>
        <w:t>FEDERAL ENERGY REGULATORY COMMISSION</w:t>
      </w:r>
    </w:p>
    <w:p>
      <w:pPr>
        <w:pStyle w:val="Normal"/>
        <w:jc w:val="center"/>
        <w:rPr>
          <w:b/>
          <w:bCs/>
          <w:sz w:val="24"/>
          <w:szCs w:val="24"/>
        </w:rPr>
      </w:pPr>
      <w:r>
        <w:rPr>
          <w:b/>
          <w:bCs/>
          <w:sz w:val="24"/>
          <w:szCs w:val="24"/>
        </w:rPr>
      </w:r>
    </w:p>
    <w:p>
      <w:pPr>
        <w:pStyle w:val="Heading1"/>
        <w:ind w:hanging="0" w:start="0"/>
        <w:rPr/>
      </w:pPr>
      <w:r>
        <w:rPr/>
        <w:t>Southwest Gas Transmission Company,</w:t>
        <w:tab/>
        <w:t>)</w:t>
        <w:tab/>
        <w:t>Docket No. CP99-592-000</w:t>
      </w:r>
    </w:p>
    <w:p>
      <w:pPr>
        <w:pStyle w:val="Normal"/>
        <w:rPr>
          <w:sz w:val="24"/>
          <w:szCs w:val="24"/>
        </w:rPr>
      </w:pPr>
      <w:r>
        <w:rPr>
          <w:sz w:val="24"/>
          <w:szCs w:val="24"/>
        </w:rPr>
        <w:tab/>
        <w:t>a Limited Partnership</w:t>
        <w:tab/>
        <w:tab/>
        <w:tab/>
        <w:t>)</w:t>
      </w:r>
    </w:p>
    <w:p>
      <w:pPr>
        <w:pStyle w:val="Normal"/>
        <w:rPr>
          <w:sz w:val="24"/>
          <w:szCs w:val="24"/>
        </w:rPr>
      </w:pPr>
      <w:r>
        <w:rPr>
          <w:sz w:val="24"/>
          <w:szCs w:val="24"/>
        </w:rPr>
      </w:r>
    </w:p>
    <w:p>
      <w:pPr>
        <w:pStyle w:val="BodyText"/>
        <w:rPr>
          <w:sz w:val="24"/>
          <w:szCs w:val="24"/>
        </w:rPr>
      </w:pPr>
      <w:r>
        <w:rPr>
          <w:sz w:val="24"/>
          <w:szCs w:val="24"/>
        </w:rPr>
      </w:r>
    </w:p>
    <w:p>
      <w:pPr>
        <w:pStyle w:val="BodyText"/>
        <w:rPr/>
      </w:pPr>
      <w:r>
        <w:rPr/>
        <w:t>MOTION FOR LEAVE TO INTERVENE OUT-OF-TIME</w:t>
      </w:r>
    </w:p>
    <w:p>
      <w:pPr>
        <w:pStyle w:val="BodyText"/>
        <w:rPr/>
      </w:pPr>
      <w:r>
        <w:rPr/>
        <w:t>AND MOTION TO EXPEDITE</w:t>
      </w:r>
    </w:p>
    <w:p>
      <w:pPr>
        <w:pStyle w:val="BodyText"/>
        <w:rPr>
          <w:b w:val="false"/>
          <w:bCs w:val="false"/>
        </w:rPr>
      </w:pPr>
      <w:r>
        <w:rPr/>
        <w:t>OF SEMPRA ENERGY TRADING CORP.</w:t>
      </w:r>
    </w:p>
    <w:p>
      <w:pPr>
        <w:pStyle w:val="BodyText"/>
        <w:rPr>
          <w:b w:val="false"/>
          <w:bCs w:val="false"/>
        </w:rPr>
      </w:pPr>
      <w:r>
        <w:rPr>
          <w:b w:val="false"/>
          <w:bCs w:val="false"/>
        </w:rPr>
      </w:r>
    </w:p>
    <w:p>
      <w:pPr>
        <w:pStyle w:val="BodyText"/>
        <w:spacing w:lineRule="auto" w:line="360"/>
        <w:jc w:val="both"/>
        <w:rPr>
          <w:b w:val="false"/>
          <w:bCs w:val="false"/>
        </w:rPr>
      </w:pPr>
      <w:r>
        <w:rPr>
          <w:b w:val="false"/>
          <w:bCs w:val="false"/>
        </w:rPr>
        <w:tab/>
        <w:t>Pursuant to Rule 214 of the Commission's Rules of Practice and Procedure (18 C.F.R. § 385.214), Sempra Energy Trading Corp. ("Sempra") hereby moves for permission to intervene and become a party to the above-captioned proceeding, and also moves to expedite a decision in this proceeding.  All correspondence or communication in connection with this proceeding should be addressed to the following:</w:t>
      </w:r>
    </w:p>
    <w:p>
      <w:pPr>
        <w:pStyle w:val="BodyText"/>
        <w:jc w:val="both"/>
        <w:rPr>
          <w:b w:val="false"/>
          <w:bCs w:val="false"/>
        </w:rPr>
      </w:pPr>
      <w:r>
        <w:rPr>
          <w:b w:val="false"/>
          <w:bCs w:val="false"/>
        </w:rPr>
      </w:r>
    </w:p>
    <w:p>
      <w:pPr>
        <w:pStyle w:val="BodyText"/>
        <w:ind w:firstLine="720" w:end="0"/>
        <w:jc w:val="both"/>
        <w:rPr>
          <w:b w:val="false"/>
          <w:bCs w:val="false"/>
        </w:rPr>
      </w:pPr>
      <w:r>
        <w:rPr>
          <w:b w:val="false"/>
          <w:bCs w:val="false"/>
        </w:rPr>
        <w:t>June A. Suwara</w:t>
      </w:r>
    </w:p>
    <w:p>
      <w:pPr>
        <w:pStyle w:val="BodyText"/>
        <w:ind w:firstLine="720" w:end="0"/>
        <w:jc w:val="both"/>
        <w:rPr>
          <w:b w:val="false"/>
          <w:bCs w:val="false"/>
        </w:rPr>
      </w:pPr>
      <w:r>
        <w:rPr>
          <w:b w:val="false"/>
          <w:bCs w:val="false"/>
        </w:rPr>
        <w:t>Case Administrator</w:t>
      </w:r>
    </w:p>
    <w:p>
      <w:pPr>
        <w:pStyle w:val="BodyText"/>
        <w:ind w:firstLine="720" w:end="0"/>
        <w:jc w:val="both"/>
        <w:rPr>
          <w:b w:val="false"/>
          <w:bCs w:val="false"/>
        </w:rPr>
      </w:pPr>
      <w:r>
        <w:rPr>
          <w:b w:val="false"/>
          <w:bCs w:val="false"/>
        </w:rPr>
        <w:t>Sempra Energy, GT20G2</w:t>
      </w:r>
    </w:p>
    <w:p>
      <w:pPr>
        <w:pStyle w:val="BodyText"/>
        <w:ind w:firstLine="720" w:end="0"/>
        <w:jc w:val="both"/>
        <w:rPr>
          <w:b w:val="false"/>
          <w:bCs w:val="false"/>
        </w:rPr>
      </w:pPr>
      <w:r>
        <w:rPr>
          <w:b w:val="false"/>
          <w:bCs w:val="false"/>
        </w:rPr>
        <w:t>555 West Fifth Street</w:t>
      </w:r>
    </w:p>
    <w:p>
      <w:pPr>
        <w:pStyle w:val="BodyText"/>
        <w:ind w:firstLine="720" w:end="0"/>
        <w:jc w:val="both"/>
        <w:rPr>
          <w:b w:val="false"/>
          <w:bCs w:val="false"/>
        </w:rPr>
      </w:pPr>
      <w:r>
        <w:rPr>
          <w:b w:val="false"/>
          <w:bCs w:val="false"/>
        </w:rPr>
        <w:t>Los Angeles, California 90013-1011</w:t>
      </w:r>
    </w:p>
    <w:p>
      <w:pPr>
        <w:pStyle w:val="BodyText"/>
        <w:ind w:firstLine="720" w:end="0"/>
        <w:jc w:val="both"/>
        <w:rPr>
          <w:b w:val="false"/>
          <w:bCs w:val="false"/>
        </w:rPr>
      </w:pPr>
      <w:r>
        <w:rPr>
          <w:b w:val="false"/>
          <w:bCs w:val="false"/>
        </w:rPr>
      </w:r>
    </w:p>
    <w:p>
      <w:pPr>
        <w:pStyle w:val="BodyText"/>
        <w:ind w:firstLine="720" w:end="0"/>
        <w:jc w:val="both"/>
        <w:rPr>
          <w:b w:val="false"/>
          <w:bCs w:val="false"/>
        </w:rPr>
      </w:pPr>
      <w:r>
        <w:rPr>
          <w:b w:val="false"/>
          <w:bCs w:val="false"/>
        </w:rPr>
        <w:t>Leonard A. Foster</w:t>
      </w:r>
    </w:p>
    <w:p>
      <w:pPr>
        <w:pStyle w:val="BodyText"/>
        <w:ind w:firstLine="720" w:end="0"/>
        <w:jc w:val="both"/>
        <w:rPr>
          <w:b w:val="false"/>
          <w:bCs w:val="false"/>
        </w:rPr>
      </w:pPr>
      <w:r>
        <w:rPr>
          <w:b w:val="false"/>
          <w:bCs w:val="false"/>
        </w:rPr>
        <w:t>Attorney at Law</w:t>
      </w:r>
    </w:p>
    <w:p>
      <w:pPr>
        <w:pStyle w:val="BodyText"/>
        <w:ind w:firstLine="720" w:end="0"/>
        <w:jc w:val="both"/>
        <w:rPr>
          <w:b w:val="false"/>
          <w:bCs w:val="false"/>
        </w:rPr>
      </w:pPr>
      <w:r>
        <w:rPr>
          <w:b w:val="false"/>
          <w:bCs w:val="false"/>
        </w:rPr>
        <w:t>Sempra Energy, HQ-11B</w:t>
      </w:r>
    </w:p>
    <w:p>
      <w:pPr>
        <w:pStyle w:val="BodyText"/>
        <w:ind w:firstLine="720" w:end="0"/>
        <w:jc w:val="both"/>
        <w:rPr>
          <w:b w:val="false"/>
          <w:bCs w:val="false"/>
        </w:rPr>
      </w:pPr>
      <w:r>
        <w:rPr>
          <w:b w:val="false"/>
          <w:bCs w:val="false"/>
        </w:rPr>
        <w:t>101 Ash Street</w:t>
      </w:r>
    </w:p>
    <w:p>
      <w:pPr>
        <w:pStyle w:val="BodyText"/>
        <w:ind w:firstLine="720" w:end="0"/>
        <w:jc w:val="both"/>
        <w:rPr>
          <w:b w:val="false"/>
          <w:bCs w:val="false"/>
        </w:rPr>
      </w:pPr>
      <w:r>
        <w:rPr>
          <w:b w:val="false"/>
          <w:bCs w:val="false"/>
        </w:rPr>
        <w:t>San Diego, California 92101-3017</w:t>
      </w:r>
    </w:p>
    <w:p>
      <w:pPr>
        <w:pStyle w:val="BodyText"/>
        <w:ind w:firstLine="720" w:end="0"/>
        <w:jc w:val="both"/>
        <w:rPr>
          <w:b w:val="false"/>
          <w:bCs w:val="false"/>
        </w:rPr>
      </w:pPr>
      <w:r>
        <w:rPr>
          <w:b w:val="false"/>
          <w:bCs w:val="false"/>
        </w:rPr>
      </w:r>
    </w:p>
    <w:p>
      <w:pPr>
        <w:pStyle w:val="BodyText"/>
        <w:jc w:val="both"/>
        <w:rPr>
          <w:b w:val="false"/>
          <w:bCs w:val="false"/>
        </w:rPr>
      </w:pPr>
      <w:r>
        <w:rPr>
          <w:b w:val="false"/>
          <w:bCs w:val="false"/>
        </w:rPr>
      </w:r>
    </w:p>
    <w:p>
      <w:pPr>
        <w:pStyle w:val="BodyText2"/>
        <w:jc w:val="center"/>
        <w:rPr>
          <w:b/>
          <w:bCs/>
        </w:rPr>
      </w:pPr>
      <w:r>
        <w:rPr>
          <w:b/>
          <w:bCs/>
        </w:rPr>
        <w:t>I.</w:t>
      </w:r>
    </w:p>
    <w:p>
      <w:pPr>
        <w:pStyle w:val="BodyText2"/>
        <w:jc w:val="center"/>
        <w:rPr>
          <w:b/>
          <w:bCs/>
        </w:rPr>
      </w:pPr>
      <w:r>
        <w:rPr>
          <w:b/>
          <w:bCs/>
        </w:rPr>
        <w:t>Motion for Leave to Intervene</w:t>
      </w:r>
    </w:p>
    <w:p>
      <w:pPr>
        <w:pStyle w:val="BodyText2"/>
        <w:rPr/>
      </w:pPr>
      <w:r>
        <w:rPr/>
        <w:tab/>
        <w:t>Sempra is a corporation organized and existing under the laws of the State of ___.  Its principal office is located at ___.  (Add usual Sempra description).</w:t>
      </w:r>
    </w:p>
    <w:p>
      <w:pPr>
        <w:pStyle w:val="BodyText2"/>
        <w:jc w:val="both"/>
        <w:rPr/>
      </w:pPr>
      <w:r>
        <w:rPr/>
        <w:tab/>
        <w:t xml:space="preserve">On July 22, 1999, Southwest Gas Transmission Company ("SGTC") filed an application pursuant to Section 7 of the Natural Gas Act for an order permitting and approving the abandonment of facilities and services and for a certificate of public convenience and necessity to construct and operate facilities, transport gas and enable SGTC to interconnect with Transwestern Pipeline Company ("Transwestern") for receipt of gas from Transwestern's system in Mohave County, Arizona. </w:t>
      </w:r>
    </w:p>
    <w:p>
      <w:pPr>
        <w:pStyle w:val="BodyText2"/>
        <w:jc w:val="both"/>
        <w:rPr/>
      </w:pPr>
      <w:r>
        <w:rPr/>
        <w:tab/>
        <w:t>Because Sempra is will be a shipper on Transwestern when Transwestern's recently approved Gallup Expansion is in service, it has a direct interest in the subject filing and will be directly affected by the outcome of this proceeding.  No other party can adequately represent Sempra's interests. Sempra further requests that the Commission waive the provision of Section 154.210 of the Commission's Rules and Regulations (18 C.F.R. § 154.210) and allow this late intervention pursuant to Section 385.214(d) thereof.  The filing of this motion out-of-time was inadvertent and will not cause any disruption to this proceeding.  Nor will it cause any prejudice to or place any additional burden on existing parties.  Therefore, Sempra respectfully submits that its intervention is in the public interest and requests that it be allowed to intervene in this proceeding and be afforded all the rights of a party hereto.</w:t>
      </w:r>
    </w:p>
    <w:p>
      <w:pPr>
        <w:pStyle w:val="BodyText"/>
        <w:rPr/>
      </w:pPr>
      <w:r>
        <w:rPr/>
        <w:t>II.</w:t>
      </w:r>
    </w:p>
    <w:p>
      <w:pPr>
        <w:pStyle w:val="Heading2"/>
        <w:ind w:hanging="0" w:start="0"/>
        <w:rPr/>
      </w:pPr>
      <w:r>
        <w:rPr/>
        <w:t>Motion to Expedite</w:t>
      </w:r>
    </w:p>
    <w:p>
      <w:pPr>
        <w:pStyle w:val="Normal"/>
        <w:jc w:val="center"/>
        <w:rPr>
          <w:b/>
          <w:bCs/>
          <w:sz w:val="24"/>
          <w:szCs w:val="24"/>
        </w:rPr>
      </w:pPr>
      <w:r>
        <w:rPr>
          <w:b/>
          <w:bCs/>
          <w:sz w:val="24"/>
          <w:szCs w:val="24"/>
        </w:rPr>
      </w:r>
    </w:p>
    <w:p>
      <w:pPr>
        <w:pStyle w:val="Normal"/>
        <w:spacing w:lineRule="auto" w:line="360"/>
        <w:jc w:val="both"/>
        <w:rPr>
          <w:sz w:val="24"/>
          <w:szCs w:val="24"/>
        </w:rPr>
      </w:pPr>
      <w:r>
        <w:rPr>
          <w:sz w:val="24"/>
          <w:szCs w:val="24"/>
        </w:rPr>
        <w:tab/>
        <w:t xml:space="preserve">As part of its Gallup Expansion application in Docket No. CP99-522-000, Transwestern held an open season for capacity to be created by the expansion.  Sempra entered into a firm transportation contract with Transwestern that will become effective as soon as the Gallup Expansion facilities are in service.   The contract contains a provision granting Sempra the ability to change its primary delivery point to the proposed interconnection with SGTC.  </w:t>
      </w:r>
    </w:p>
    <w:p>
      <w:pPr>
        <w:pStyle w:val="BodyText3"/>
        <w:rPr/>
      </w:pPr>
      <w:r>
        <w:rPr/>
        <w:tab/>
        <w:t xml:space="preserve">The Commission issued certificate authority for the Gallup Expansion on January 13, 2000.  Transwestern has stated that the expansion facilities could be in place as early as May 1, 2000. Unless the Commission issues a certificate in the instant proceeding allowing SGTC to construct the proposed interconnection facilities by [date], Sempra's ability to use the full range of transportation rights under its Gallup Expansion contract will be compromised. Prompt approval and construction of the proposed facilities will increase the  availability of upstream pipeline capacity into the growing market in Southern Nevada, enabling Sempra to access that market as soon as possible. </w:t>
      </w:r>
    </w:p>
    <w:p>
      <w:pPr>
        <w:pStyle w:val="BodyText3"/>
        <w:rPr/>
      </w:pPr>
      <w:r>
        <w:rPr/>
        <w:tab/>
        <w:t>Therefore, Sempra respectfully requests that the Commission act without further delay to approve SGTC's application.</w:t>
      </w:r>
    </w:p>
    <w:p>
      <w:pPr>
        <w:pStyle w:val="BodyText3"/>
        <w:rPr/>
      </w:pPr>
      <w:r>
        <w:rPr/>
      </w:r>
    </w:p>
    <w:p>
      <w:pPr>
        <w:pStyle w:val="BodyText3"/>
        <w:rPr/>
      </w:pPr>
      <w:r>
        <w:rPr/>
        <w:tab/>
        <w:tab/>
        <w:tab/>
        <w:tab/>
        <w:tab/>
        <w:tab/>
        <w:t xml:space="preserve">Respectfully submitted, </w:t>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szCs w:val="24"/>
    </w:rPr>
  </w:style>
  <w:style w:type="paragraph" w:styleId="Heading2">
    <w:name w:val="heading 2"/>
    <w:basedOn w:val="Normal"/>
    <w:next w:val="Normal"/>
    <w:qFormat/>
    <w:pPr>
      <w:keepNext w:val="true"/>
      <w:numPr>
        <w:ilvl w:val="1"/>
        <w:numId w:val="1"/>
      </w:numPr>
      <w:jc w:val="center"/>
      <w:outlineLvl w:val="1"/>
    </w:pPr>
    <w:rPr>
      <w:b/>
      <w:bCs/>
      <w:sz w:val="24"/>
      <w:szCs w:val="24"/>
    </w:rPr>
  </w:style>
  <w:style w:type="character" w:styleId="DefaultParagraphFont">
    <w:name w:val="Default Paragraph Font"/>
    <w:qFormat/>
    <w:rPr/>
  </w:style>
  <w:style w:type="paragraph" w:styleId="Heading">
    <w:name w:val="Heading"/>
    <w:basedOn w:val="Normal"/>
    <w:next w:val="BodyText"/>
    <w:qFormat/>
    <w:pPr>
      <w:jc w:val="center"/>
    </w:pPr>
    <w:rPr>
      <w:b/>
      <w:bCs/>
      <w:sz w:val="24"/>
      <w:szCs w:val="24"/>
    </w:rPr>
  </w:style>
  <w:style w:type="paragraph" w:styleId="BodyText">
    <w:name w:val="Body Text"/>
    <w:basedOn w:val="Normal"/>
    <w:pPr>
      <w:jc w:val="center"/>
    </w:pPr>
    <w:rPr>
      <w:b/>
      <w:bCs/>
      <w:sz w:val="24"/>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pPr>
    <w:rPr>
      <w:sz w:val="24"/>
      <w:szCs w:val="24"/>
    </w:rPr>
  </w:style>
  <w:style w:type="paragraph" w:styleId="BodyText3">
    <w:name w:val="Body Text 3"/>
    <w:basedOn w:val="Normal"/>
    <w:qFormat/>
    <w:pPr>
      <w:spacing w:lineRule="auto" w:line="360"/>
      <w:jc w:val="both"/>
    </w:pPr>
    <w:rPr>
      <w:sz w:val="24"/>
      <w:szCs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2000-02-15T16:25:00Z</dcterms:created>
  <dc:creator>Susan Scott</dc:creator>
  <dc:description/>
  <dc:language>en-CA</dc:language>
  <cp:lastModifiedBy>Susan Scott</cp:lastModifiedBy>
  <dcterms:modified xsi:type="dcterms:W3CDTF">2000-02-15T20:56:00Z</dcterms:modified>
  <cp:revision>2</cp:revision>
  <dc:subject/>
  <dc:title>UNITED STATES OF AMERICA</dc:title>
</cp:coreProperties>
</file>