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Bridgeline Gas Marketing, L.L.C., a Delaware limited liability company ("</w:t>
      </w:r>
      <w:r>
        <w:rPr>
          <w:rFonts w:cs="Arial Narrow" w:ascii="Arial Narrow" w:hAnsi="Arial Narrow"/>
          <w:sz w:val="18"/>
          <w:u w:val="single"/>
        </w:rPr>
        <w:t>Company</w:t>
      </w:r>
      <w:r>
        <w:rPr>
          <w:rFonts w:cs="Arial Narrow" w:ascii="Arial Narrow" w:hAnsi="Arial Narrow"/>
          <w:sz w:val="18"/>
        </w:rPr>
        <w:t>"), and Sempra Energy Trading Corp.,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Bridgeline Holdings, LP shall have defaulted on its indebtedness to third parties resulting in an acceleration of obligations of Bridgeline Holdings, LP in excess of $15,000,000, or with respect to Customer, at any time, Sempra Energy, shall have defaulted on its indebted</w:t>
        <w:softHyphen/>
        <w:t xml:space="preserve">ness to third parties, resulting in an acceleration of obligations of Sempra Energy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BRIDGELINE GAS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SEMPRA ENERGY TRADING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/mnt/main-storage/datasets/enron-docs/doc/Sempra_Energy1.doc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Bridgeline Holdings, LP, and as to Customer, Customer's ultimate parent, Sempra Energy.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Customer's Guarantor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tabs>
          <w:tab w:val="clear" w:pos="720"/>
          <w:tab w:val="center" w:pos="10800" w:leader="none"/>
        </w:tabs>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__________________________</w:t>
      </w:r>
    </w:p>
    <w:p>
      <w:pPr>
        <w:pStyle w:val="Normal"/>
        <w:jc w:val="both"/>
        <w:rPr>
          <w:rFonts w:ascii="Arial Narrow" w:hAnsi="Arial Narrow" w:cs="Arial Narrow"/>
          <w:b/>
          <w:sz w:val="18"/>
        </w:rPr>
      </w:pPr>
      <w:r>
        <w:rPr>
          <w:rFonts w:cs="Arial Narrow" w:ascii="Arial Narrow" w:hAnsi="Arial Narrow"/>
          <w:b/>
          <w:sz w:val="18"/>
        </w:rPr>
        <w:t>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______________</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____________________</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__________________________________</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tabs>
          <w:tab w:val="clear" w:pos="720"/>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9360" w:leader="none"/>
        </w:tabs>
        <w:jc w:val="center"/>
        <w:rPr>
          <w:rFonts w:ascii="Arial Narrow" w:hAnsi="Arial Narrow" w:cs="Arial Narrow"/>
        </w:rPr>
      </w:pPr>
      <w:r>
        <w:rPr>
          <w:rFonts w:cs="Arial Narrow" w:ascii="Arial Narrow" w:hAnsi="Arial Narrow"/>
        </w:rPr>
        <w:t>To be provided</w:t>
      </w:r>
    </w:p>
    <w:p>
      <w:pPr>
        <w:pStyle w:val="Heading1"/>
        <w:ind w:hanging="0" w:start="0"/>
        <w:rPr>
          <w:rFonts w:ascii="Arial Narrow" w:hAnsi="Arial Narrow" w:cs="Arial Narrow"/>
        </w:rPr>
      </w:pPr>
      <w:r>
        <w:rPr>
          <w:rFonts w:cs="Arial Narrow"/>
        </w:rPr>
      </w:r>
    </w:p>
    <w:p>
      <w:pPr>
        <w:pStyle w:val="Normal"/>
        <w:jc w:val="both"/>
        <w:rPr>
          <w:rFonts w:ascii="Arial Narrow" w:hAnsi="Arial Narrow" w:cs="Arial Narrow"/>
          <w:sz w:val="18"/>
        </w:rPr>
      </w:pPr>
      <w:r>
        <w:rPr>
          <w:rFonts w:cs="Arial Narrow" w:ascii="Arial Narrow" w:hAnsi="Arial Narrow"/>
          <w:sz w:val="18"/>
        </w:rPr>
        <w:tab/>
      </w:r>
    </w:p>
    <w:p>
      <w:pPr>
        <w:pStyle w:val="Normal"/>
        <w:jc w:val="center"/>
        <w:rPr>
          <w:rFonts w:ascii="Arial Narrow" w:hAnsi="Arial Narrow" w:cs="Arial Narrow"/>
          <w:sz w:val="18"/>
        </w:rPr>
      </w:pPr>
      <w:r>
        <w:rPr>
          <w:rFonts w:cs="Arial Narrow" w:ascii="Arial Narrow" w:hAnsi="Arial Narrow"/>
          <w:sz w:val="18"/>
        </w:rPr>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tabs>
          <w:tab w:val="clear" w:pos="720"/>
          <w:tab w:val="left" w:pos="9360" w:leader="none"/>
        </w:tabs>
        <w:jc w:val="center"/>
        <w:rPr>
          <w:rFonts w:ascii="Arial Narrow" w:hAnsi="Arial Narrow" w:cs="Arial Narrow"/>
        </w:rPr>
      </w:pPr>
      <w:r>
        <w:rPr>
          <w:rFonts w:cs="Arial Narrow" w:ascii="Arial Narrow" w:hAnsi="Arial Narrow"/>
        </w:rPr>
        <w:t>To be provided</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2001-03-26T19:09:00Z</dcterms:created>
  <dc:creator>dperlin</dc:creator>
  <dc:description/>
  <dc:language>en-CA</dc:language>
  <cp:lastModifiedBy>gnemec</cp:lastModifiedBy>
  <cp:lastPrinted>2001-03-20T13:58:00Z</cp:lastPrinted>
  <dcterms:modified xsi:type="dcterms:W3CDTF">2001-03-26T19:09:00Z</dcterms:modified>
  <cp:revision>2</cp:revision>
  <dc:subject/>
  <dc:title>ENFOLIO® MASTER FIRM PURCHASE/SALE AGREEMENT</dc:title>
</cp:coreProperties>
</file>