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 10/05/00</w:t>
      </w:r>
    </w:p>
    <w:p>
      <w:pPr>
        <w:pStyle w:val="Normal"/>
        <w:rPr>
          <w:rFonts w:ascii="Book Antiqua;Times New Roman" w:hAnsi="Book Antiqua;Times New Roman" w:cs="Book Antiqua;Times New Roman"/>
        </w:rPr>
      </w:pPr>
      <w:r>
        <w:rPr>
          <w:rFonts w:cs="Book Antiqua;Times New Roman" w:ascii="Book Antiqua;Times New Roman" w:hAnsi="Book Antiqua;Times New Roman"/>
        </w:rPr>
      </w:r>
    </w:p>
    <w:p>
      <w:pPr>
        <w:pStyle w:val="Normal"/>
        <w:rPr>
          <w:rFonts w:ascii="Book Antiqua;Times New Roman" w:hAnsi="Book Antiqua;Times New Roman" w:cs="Book Antiqua;Times New Roman"/>
        </w:rPr>
      </w:pPr>
      <w:r>
        <w:rPr>
          <w:rFonts w:cs="Book Antiqua;Times New Roman" w:ascii="Book Antiqua;Times New Roman" w:hAnsi="Book Antiqua;Times New Roman"/>
        </w:rPr>
        <w:t>Contact:</w:t>
        <w:tab/>
        <w:t>Alex Hemerick</w:t>
        <w:tab/>
        <w:tab/>
        <w:tab/>
        <w:tab/>
        <w:t>XXXXX</w:t>
      </w:r>
    </w:p>
    <w:p>
      <w:pPr>
        <w:pStyle w:val="Normal"/>
        <w:rPr>
          <w:rFonts w:ascii="Book Antiqua;Times New Roman" w:hAnsi="Book Antiqua;Times New Roman" w:cs="Book Antiqua;Times New Roman"/>
        </w:rPr>
      </w:pPr>
      <w:r>
        <w:rPr>
          <w:rFonts w:cs="Book Antiqua;Times New Roman" w:ascii="Book Antiqua;Times New Roman" w:hAnsi="Book Antiqua;Times New Roman"/>
        </w:rPr>
        <w:tab/>
        <w:tab/>
        <w:t>Sempra Energy Trading</w:t>
        <w:tab/>
        <w:tab/>
        <w:tab/>
        <w:t>Enron Global Markets</w:t>
      </w:r>
    </w:p>
    <w:p>
      <w:pPr>
        <w:pStyle w:val="Normal"/>
        <w:rPr>
          <w:rFonts w:ascii="Book Antiqua;Times New Roman" w:hAnsi="Book Antiqua;Times New Roman" w:cs="Book Antiqua;Times New Roman"/>
        </w:rPr>
      </w:pPr>
      <w:r>
        <w:rPr>
          <w:rFonts w:cs="Book Antiqua;Times New Roman" w:ascii="Book Antiqua;Times New Roman" w:hAnsi="Book Antiqua;Times New Roman"/>
        </w:rPr>
        <w:tab/>
        <w:tab/>
        <w:t>(877) 866-2066</w:t>
        <w:tab/>
        <w:tab/>
        <w:tab/>
        <w:tab/>
        <w:t>(XXX) XXX-XXXX</w:t>
        <w:br/>
        <w:br/>
        <w:tab/>
        <w:tab/>
        <w:t>Larry Pierce</w:t>
      </w:r>
    </w:p>
    <w:p>
      <w:pPr>
        <w:pStyle w:val="Normal"/>
        <w:rPr>
          <w:rFonts w:ascii="Book Antiqua;Times New Roman" w:hAnsi="Book Antiqua;Times New Roman" w:cs="Book Antiqua;Times New Roman"/>
        </w:rPr>
      </w:pPr>
      <w:r>
        <w:rPr>
          <w:rFonts w:cs="Book Antiqua;Times New Roman" w:ascii="Book Antiqua;Times New Roman" w:hAnsi="Book Antiqua;Times New Roman"/>
        </w:rPr>
        <w:tab/>
        <w:tab/>
        <w:t>KN Energy</w:t>
        <w:br/>
        <w:tab/>
        <w:tab/>
        <w:t>(713) 369-9407</w:t>
      </w:r>
    </w:p>
    <w:p>
      <w:pPr>
        <w:pStyle w:val="Normal"/>
        <w:spacing w:lineRule="auto" w:line="360"/>
        <w:rPr>
          <w:rFonts w:ascii="Book Antiqua;Times New Roman" w:hAnsi="Book Antiqua;Times New Roman" w:cs="Book Antiqua;Times New Roman"/>
        </w:rPr>
      </w:pPr>
      <w:r>
        <w:rPr>
          <w:rFonts w:cs="Book Antiqua;Times New Roman" w:ascii="Book Antiqua;Times New Roman" w:hAnsi="Book Antiqua;Times New Roman"/>
        </w:rPr>
      </w:r>
    </w:p>
    <w:p>
      <w:pPr>
        <w:pStyle w:val="Normal"/>
        <w:spacing w:lineRule="auto" w:line="360"/>
        <w:rPr>
          <w:rFonts w:ascii="Book Antiqua;Times New Roman" w:hAnsi="Book Antiqua;Times New Roman" w:cs="Book Antiqua;Times New Roman"/>
        </w:rPr>
      </w:pPr>
      <w:r>
        <w:rPr>
          <w:rFonts w:cs="Book Antiqua;Times New Roman" w:ascii="Book Antiqua;Times New Roman" w:hAnsi="Book Antiqua;Times New Roman"/>
        </w:rPr>
      </w:r>
    </w:p>
    <w:p>
      <w:pPr>
        <w:pStyle w:val="BodyText"/>
        <w:rPr>
          <w:rFonts w:ascii="Book Antiqua;Times New Roman" w:hAnsi="Book Antiqua;Times New Roman" w:cs="Book Antiqua;Times New Roman"/>
          <w:sz w:val="32"/>
        </w:rPr>
      </w:pPr>
      <w:r>
        <w:rPr>
          <w:rFonts w:cs="Book Antiqua;Times New Roman" w:ascii="Book Antiqua;Times New Roman" w:hAnsi="Book Antiqua;Times New Roman"/>
          <w:sz w:val="32"/>
        </w:rPr>
        <w:t>SEMPRA ENERGY TRADING RELOCATES TWO SYNTHETIC FUEL FACILITIES TO KINDER MORGAN ENERGY PARTNERS’ PIER IX TERMINAL IN VIRGINIA</w:t>
      </w:r>
    </w:p>
    <w:p>
      <w:pPr>
        <w:pStyle w:val="BodyText"/>
        <w:spacing w:lineRule="auto" w:line="360"/>
        <w:ind w:firstLine="720" w:end="0"/>
        <w:jc w:val="start"/>
        <w:rPr>
          <w:rFonts w:ascii="Book Antiqua;Times New Roman" w:hAnsi="Book Antiqua;Times New Roman" w:cs="Book Antiqua;Times New Roman"/>
          <w:b w:val="false"/>
          <w:sz w:val="32"/>
        </w:rPr>
      </w:pPr>
      <w:r>
        <w:rPr>
          <w:rFonts w:cs="Book Antiqua;Times New Roman" w:ascii="Book Antiqua;Times New Roman" w:hAnsi="Book Antiqua;Times New Roman"/>
          <w:b w:val="false"/>
          <w:sz w:val="32"/>
        </w:rPr>
      </w:r>
    </w:p>
    <w:p>
      <w:pPr>
        <w:pStyle w:val="BodyText"/>
        <w:spacing w:lineRule="auto" w:line="360"/>
        <w:ind w:firstLine="720" w:end="0"/>
        <w:jc w:val="start"/>
        <w:rPr>
          <w:rFonts w:ascii="Book Antiqua;Times New Roman" w:hAnsi="Book Antiqua;Times New Roman" w:cs="Book Antiqua;Times New Roman"/>
          <w:i/>
          <w:i/>
          <w:sz w:val="20"/>
        </w:rPr>
      </w:pPr>
      <w:r>
        <w:rPr>
          <w:rFonts w:cs="Book Antiqua;Times New Roman" w:ascii="Book Antiqua;Times New Roman" w:hAnsi="Book Antiqua;Times New Roman"/>
          <w:i/>
          <w:sz w:val="20"/>
        </w:rPr>
        <w:t>Sempra Energy Trading, Kinder Morgan and Enron Global Markets Strike Agreements</w:t>
        <w:br/>
      </w:r>
    </w:p>
    <w:p>
      <w:pPr>
        <w:pStyle w:val="BodyText"/>
        <w:spacing w:lineRule="auto" w:line="360"/>
        <w:ind w:firstLine="720" w:end="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STAMFORD, Conn., Oct. XX, 2000 – Sempra Energy Trading, the wholesale energy trading subsidiary of Sempra Energy (NYSE: SRE), announced today that it is relocating two coal-based synthetic fuel (“synfuel”) facilities from Kentucky Energy’s site in Somerset, Ky. to Kinder Morgan Energy Partners, L.P.’s (NYSE: KMP) Pier IX export terminal in Newport News, Va.</w:t>
      </w:r>
    </w:p>
    <w:p>
      <w:pPr>
        <w:pStyle w:val="BodyText"/>
        <w:spacing w:lineRule="auto" w:line="36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ab/>
        <w:t>Under the agreements between Sempra Energy Trading, Kinder Morgan Bulk Terminals, Inc. (KMBT) and Enron Global Markets, the facilities will be operated by KMBT, while Enron will be responsible for marketing the final product.  Sempra Energy Trading, which owns the plants, expects both facilities to be in operation at Pier IX by the end of this year.  Synfuel is a material used by many electric utilities to generate power.</w:t>
      </w:r>
    </w:p>
    <w:p>
      <w:pPr>
        <w:pStyle w:val="BodyText"/>
        <w:spacing w:lineRule="auto" w:line="36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ab/>
        <w:t>According to David Messer, president of Sempra Energy Trading, the relocation will allow for a greater utilization of the facilities’ operating capacity.  At the Kentucky Energy site, each facility currently produces about 500,000 tons of synfuel per year.  Following the relocation to Pier IX, the facilities will increase their output to about 1 million tons per year.  This increase in production is due to Pier IX’s access to more sources of coal, the primary component of synfuel, and the ability to transport the coal more efficiently, making it easier to support the volume of production.</w:t>
      </w:r>
    </w:p>
    <w:p>
      <w:pPr>
        <w:pStyle w:val="BodyText"/>
        <w:spacing w:lineRule="auto" w:line="36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ab/>
        <w:t>“Ikerd Coal Company, our third-party operator in Kentucky, did an excellent job in managing our operation,” said Messer.  “However, by relocating these plants to Pier IX, we have an opportunity to greatly increase the productivity of our synfuel facilities and reach more buyers.  This location is a strategic fit for these operations and we look forward to working with Kinder Morgan and Enron.”</w:t>
      </w:r>
    </w:p>
    <w:p>
      <w:pPr>
        <w:pStyle w:val="BodyText"/>
        <w:spacing w:lineRule="auto" w:line="36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ab/>
        <w:t>“We are pleased that Sempra Energy Trading has relocated these synfuel facilities to Pier IX,” said Tom Stanley, president of KMBT.  “This gives us the opportunity to leverage our existing assets and to enter into a new business.  At Pier IX, as well as our Shipyard River Terminal in Charleston, S.C., we have demonstrated the ability to acquire terminals and to increase throughput and revenues through internal growth.”</w:t>
        <w:tab/>
      </w:r>
    </w:p>
    <w:p>
      <w:pPr>
        <w:pStyle w:val="BodyText"/>
        <w:spacing w:lineRule="auto" w:line="36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ab/>
        <w:t xml:space="preserve">Sempra Energy Trading has leased approximately one acre from KMBT’s 40-acre Pier IX Terminal.  The terminal, which handles coal and cement materials, has a transfer system to discharge coal directly from rail cars into ship or storage.  Pier IX’s annual capacity is 12 million tons with a storage capacity of approximately 1.4 million tons.   </w:t>
      </w:r>
    </w:p>
    <w:p>
      <w:pPr>
        <w:pStyle w:val="BodyText"/>
        <w:spacing w:lineRule="auto" w:line="360"/>
        <w:ind w:firstLine="720" w:end="0"/>
        <w:jc w:val="start"/>
        <w:rPr>
          <w:rFonts w:ascii="Book Antiqua;Times New Roman" w:hAnsi="Book Antiqua;Times New Roman" w:cs="Book Antiqua;Times New Roman"/>
          <w:b w:val="false"/>
        </w:rPr>
      </w:pPr>
      <w:r>
        <w:rPr>
          <w:rFonts w:cs="Book Antiqua;Times New Roman" w:ascii="Book Antiqua;Times New Roman" w:hAnsi="Book Antiqua;Times New Roman"/>
          <w:b w:val="false"/>
        </w:rPr>
        <w:t>The agreements between Sempra Energy Trading, KMBT and Enron Global Services are good through 2007.</w:t>
      </w:r>
    </w:p>
    <w:p>
      <w:pPr>
        <w:pStyle w:val="Normal"/>
        <w:spacing w:lineRule="auto" w:line="360"/>
        <w:ind w:firstLine="720" w:end="0"/>
        <w:rPr/>
      </w:pPr>
      <w:r>
        <w:rPr>
          <w:rFonts w:cs="Book Antiqua;Times New Roman" w:ascii="Book Antiqua;Times New Roman" w:hAnsi="Book Antiqua;Times New Roman"/>
          <w:color w:val="000000"/>
          <w:lang w:eastAsia="en-US"/>
        </w:rPr>
        <w:t>Based in Stamford, Conn., Sempra Energy Trading is a leading participant in marketing and trading physical and financial energy products, including natural gas, power and crude oil, throughout North America and Europe.  Sempra Energy Trading combines trading and risk management experience with physical energy commodity expertise to provide innovative solutions for its wholesale and retail customers.  Sempra Energy Trading is a subsidiary of Sempra Energy (NYSE: SRE), a Fortune 500 energy services holding company based in San Diego, with</w:t>
      </w:r>
      <w:r>
        <w:rPr>
          <w:rFonts w:cs="Book Antiqua;Times New Roman" w:ascii="Book Antiqua;Times New Roman" w:hAnsi="Book Antiqua;Times New Roman"/>
          <w:b/>
          <w:color w:val="000000"/>
          <w:lang w:eastAsia="en-US"/>
        </w:rPr>
        <w:t xml:space="preserve"> </w:t>
      </w:r>
      <w:r>
        <w:rPr>
          <w:rFonts w:cs="Book Antiqua;Times New Roman" w:ascii="Book Antiqua;Times New Roman" w:hAnsi="Book Antiqua;Times New Roman"/>
          <w:color w:val="000000"/>
          <w:lang w:eastAsia="en-US"/>
        </w:rPr>
        <w:t>12,000 employees, revenues of nearly $5.5 billion and more than 9 million customers in the United States, Europe, Canada, Mexico and South America.</w:t>
      </w:r>
    </w:p>
    <w:p>
      <w:pPr>
        <w:pStyle w:val="Normal"/>
        <w:spacing w:lineRule="auto" w:line="360"/>
        <w:ind w:firstLine="720" w:end="0"/>
        <w:jc w:val="center"/>
        <w:rPr>
          <w:rFonts w:ascii="Book Antiqua;Times New Roman" w:hAnsi="Book Antiqua;Times New Roman" w:cs="Book Antiqua;Times New Roman"/>
          <w:color w:val="000000"/>
          <w:lang w:eastAsia="en-US"/>
        </w:rPr>
      </w:pPr>
      <w:r>
        <w:rPr>
          <w:rFonts w:cs="Book Antiqua;Times New Roman" w:ascii="Book Antiqua;Times New Roman" w:hAnsi="Book Antiqua;Times New Roman"/>
          <w:color w:val="000000"/>
          <w:lang w:eastAsia="en-US"/>
        </w:rPr>
        <w:t># # #</w:t>
      </w:r>
    </w:p>
    <w:p>
      <w:pPr>
        <w:pStyle w:val="BodyText"/>
        <w:jc w:val="start"/>
        <w:rPr>
          <w:rFonts w:ascii="Book Antiqua;Times New Roman" w:hAnsi="Book Antiqua;Times New Roman" w:cs="Book Antiqua;Times New Roman"/>
          <w:b w:val="false"/>
          <w:color w:val="000000"/>
          <w:lang w:eastAsia="en-US"/>
        </w:rPr>
      </w:pPr>
      <w:r>
        <w:rPr>
          <w:rFonts w:cs="Book Antiqua;Times New Roman" w:ascii="Book Antiqua;Times New Roman" w:hAnsi="Book Antiqua;Times New Roman"/>
          <w:b w:val="false"/>
          <w:color w:val="000000"/>
          <w:lang w:eastAsia="en-US"/>
        </w:rPr>
      </w:r>
    </w:p>
    <w:p>
      <w:pPr>
        <w:pStyle w:val="BodyText"/>
        <w:jc w:val="start"/>
        <w:rPr>
          <w:b w:val="false"/>
        </w:rPr>
      </w:pPr>
      <w:r>
        <w:rPr>
          <w:b w:val="false"/>
        </w:rPr>
        <w:tab/>
        <w:tab/>
      </w:r>
    </w:p>
    <w:p>
      <w:pPr>
        <w:pStyle w:val="BodyText"/>
        <w:jc w:val="start"/>
        <w:rPr>
          <w:b w:val="false"/>
        </w:rPr>
      </w:pPr>
      <w:r>
        <w:rPr>
          <w:b w:val="false"/>
        </w:rPr>
      </w:r>
    </w:p>
    <w:p>
      <w:pPr>
        <w:pStyle w:val="BodyText"/>
        <w:jc w:val="start"/>
        <w:rPr>
          <w:b w:val="false"/>
        </w:rPr>
      </w:pPr>
      <w:r>
        <w:rPr>
          <w:b w:val="false"/>
        </w:rPr>
      </w:r>
    </w:p>
    <w:p>
      <w:pPr>
        <w:pStyle w:val="BodyText"/>
        <w:jc w:val="start"/>
        <w:rPr>
          <w:b w:val="false"/>
        </w:rPr>
      </w:pPr>
      <w:r>
        <w:rPr>
          <w:b w:val="false"/>
        </w:rPr>
      </w:r>
    </w:p>
    <w:p>
      <w:pPr>
        <w:pStyle w:val="BodyText"/>
        <w:jc w:val="start"/>
        <w:rPr>
          <w:b w:val="false"/>
        </w:rPr>
      </w:pPr>
      <w:r>
        <w:rPr>
          <w:b w:val="false"/>
        </w:rPr>
      </w:r>
    </w:p>
    <w:p>
      <w:pPr>
        <w:pStyle w:val="BodyText"/>
        <w:jc w:val="start"/>
        <w:rPr>
          <w:b w:val="false"/>
        </w:rPr>
      </w:pPr>
      <w:r>
        <w:rPr>
          <w:b w:val="false"/>
        </w:rPr>
        <w:tab/>
      </w:r>
    </w:p>
    <w:p>
      <w:pPr>
        <w:pStyle w:val="Normal"/>
        <w:jc w:val="center"/>
        <w:rPr>
          <w:b/>
        </w:rPr>
      </w:pPr>
      <w:r>
        <w:rPr>
          <w:b/>
        </w:rPr>
      </w:r>
    </w:p>
    <w:p>
      <w:pPr>
        <w:pStyle w:val="Normal"/>
        <w:jc w:val="center"/>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Book Antiqua;Times New Roman" w:hAnsi="Book Antiqua;Times New Roman" w:cs="Book Antiqua;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2000-10-12T10:33:00Z</dcterms:created>
  <dc:creator>Alexandra Hemerick</dc:creator>
  <dc:description/>
  <dc:language>en-CA</dc:language>
  <cp:lastModifiedBy>Eric William Thode</cp:lastModifiedBy>
  <cp:lastPrinted>2000-10-04T16:53:00Z</cp:lastPrinted>
  <dcterms:modified xsi:type="dcterms:W3CDTF">2000-10-12T10:33:00Z</dcterms:modified>
  <cp:revision>2</cp:revision>
  <dc:subject/>
  <dc:title>Contact:</dc:title>
</cp:coreProperties>
</file>