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u w:val="single"/>
        </w:rPr>
      </w:pPr>
      <w:r>
        <w:rPr>
          <w:b/>
          <w:u w:val="single"/>
        </w:rPr>
        <w:t>SEMINAR 2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MODELLING POWER PRICES IN THE EUROPEAN ENERGY MARKET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Understanding stochastic processes for pricing derivatives</w:t>
      </w:r>
    </w:p>
    <w:p>
      <w:pPr>
        <w:pStyle w:val="Heading1"/>
        <w:numPr>
          <w:ilvl w:val="0"/>
          <w:numId w:val="10"/>
        </w:numPr>
        <w:rPr/>
      </w:pPr>
      <w:r>
        <w:rPr/>
        <w:t>Defining the stochastic process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Demystifying the concepts behind stochastic processes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Applying stochastic processes for pricing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Using stochastic methods in pricing models</w:t>
      </w:r>
    </w:p>
    <w:p>
      <w:pPr>
        <w:pStyle w:val="Normal"/>
        <w:numPr>
          <w:ilvl w:val="0"/>
          <w:numId w:val="10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Overcoming the problems in applying stochastic processes to the energy industry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Building the forward curve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Overcoming the lack of data and market transparency when building the forward curve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Key techniques for building the forward curve in an illiquid market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Analysing the significance of the forward curve for the energy industry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Evaluating methodologies for pricing exotic derivatives</w:t>
      </w:r>
    </w:p>
    <w:p>
      <w:pPr>
        <w:pStyle w:val="Heading1"/>
        <w:numPr>
          <w:ilvl w:val="0"/>
          <w:numId w:val="11"/>
        </w:numPr>
        <w:rPr/>
      </w:pPr>
      <w:r>
        <w:rPr/>
        <w:t>Blk Scholes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Monte Carlo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Understanding the mechanics of exotic derivatives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Analysing the range of new products on the market</w:t>
      </w:r>
    </w:p>
    <w:p>
      <w:pPr>
        <w:pStyle w:val="Heading2"/>
        <w:rPr/>
      </w:pPr>
      <w:r>
        <w:rPr/>
        <w:t>Swing contracts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Weather derivatives</w:t>
      </w:r>
    </w:p>
    <w:p>
      <w:pPr>
        <w:pStyle w:val="Heading1"/>
        <w:ind w:firstLine="720" w:start="0" w:end="0"/>
        <w:rPr/>
      </w:pPr>
      <w:r>
        <w:rPr/>
        <w:t>Asian options</w:t>
      </w:r>
    </w:p>
    <w:p>
      <w:pPr>
        <w:pStyle w:val="Heading1"/>
        <w:ind w:firstLine="720" w:start="0" w:end="0"/>
        <w:rPr/>
      </w:pPr>
      <w:r>
        <w:rPr/>
        <w:t>American style</w:t>
      </w:r>
    </w:p>
    <w:p>
      <w:pPr>
        <w:pStyle w:val="Heading1"/>
        <w:ind w:firstLine="720" w:start="0" w:end="0"/>
        <w:rPr/>
      </w:pPr>
      <w:r>
        <w:rPr/>
        <w:t>Spread/Spark spread options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Multi commodity options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Identifying key characteristics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Applicability of exotics to the European energy market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Case study: pricing swing options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Implementing effective hedging strategies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Assessing current instruments available for hedging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Determining how and when to apply hedging instruments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Developing an effective hedging strategy for your organisation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Volatility estimation techniques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Comparing and contrasting techniques for modelling power and gas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Historical vs implied volatility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Building stochastic volatility processes for volatility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Modelling the term structure of volatility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Profiting from cross commodity correlation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Measuring the correlation between electricity and gas</w:t>
      </w:r>
    </w:p>
    <w:p>
      <w:pPr>
        <w:pStyle w:val="Normal"/>
        <w:ind w:start="72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Measuring physical and financial correlation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Analysing current methods of calculating correlations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Measuring historical correlation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0" w:end="0"/>
      <w:outlineLvl w:val="1"/>
    </w:pPr>
    <w:rPr>
      <w:rFonts w:ascii="Arial" w:hAnsi="Arial" w:cs="Arial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1999-11-04T08:47:00Z</dcterms:created>
  <dc:creator>Risk</dc:creator>
  <dc:description/>
  <dc:language>en-CA</dc:language>
  <cp:lastModifiedBy>Risk</cp:lastModifiedBy>
  <dcterms:modified xsi:type="dcterms:W3CDTF">1999-11-23T09:46:00Z</dcterms:modified>
  <cp:revision>4</cp:revision>
  <dc:subject/>
  <dc:title>SEMINAR 2</dc:title>
</cp:coreProperties>
</file>