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widowControl/>
        <w:jc w:val="center"/>
        <w:rPr>
          <w:b/>
          <w:sz w:val="16"/>
        </w:rPr>
      </w:pPr>
      <w:r>
        <w:rPr>
          <w:b/>
          <w:sz w:val="16"/>
        </w:rPr>
        <w:t>ENERMETRIX SELLER NETWORK ACCESS AGREEMENT</w:t>
      </w:r>
    </w:p>
    <w:p>
      <w:pPr>
        <w:pStyle w:val="BodyText2"/>
        <w:rPr>
          <w:sz w:val="16"/>
        </w:rPr>
      </w:pPr>
      <w:r>
        <w:rPr>
          <w:sz w:val="16"/>
        </w:rPr>
        <w:tab/>
        <w:t>This Network Access Agreement (“Agreement”) is entered into as of this ___ day of __________, 2001 by and between ENERMETRIX.COM, INC., a Delaware corporation (the “Network Manager”), and _________________, a ______________ corporation (“Seller”)  (Network Manager and subscribing Seller are collectively referred to as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6"/>
          <w:u w:val="single"/>
        </w:rPr>
      </w:pPr>
      <w:r>
        <w:rPr>
          <w:sz w:val="16"/>
          <w:u w:val="single"/>
        </w:rPr>
        <w:t>Introduction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6"/>
          <w:u w:val="single"/>
        </w:rPr>
      </w:pPr>
      <w:r>
        <w:rPr>
          <w:sz w:val="16"/>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tab/>
        <w:t>A.</w:t>
        <w:tab/>
        <w:t>The Network Manager owns and operates a network known as the “Enermetrix Network” or the “Network” on which buyers and sellers of energy execute energy purchase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tab/>
        <w:t>B.</w:t>
        <w:tab/>
        <w:t>Seller desires to access and use the Network.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SignatureName"/>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16"/>
        </w:rPr>
      </w:pPr>
      <w:r>
        <w:rPr>
          <w:sz w:val="16"/>
        </w:rPr>
        <w:tab/>
        <w:t>NOW, THEREFORE, in consideration of the promises contained in this Agreement and for other consideration, the receipt and sufficiency of which are hereby acknowledged, the parties intending to be legally bound, hereby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1.</w:t>
        <w:tab/>
      </w:r>
      <w:r>
        <w:rPr>
          <w:sz w:val="16"/>
          <w:u w:val="single"/>
        </w:rPr>
        <w:t>Definitions</w:t>
      </w:r>
      <w:r>
        <w:rPr>
          <w:sz w:val="16"/>
        </w:rPr>
        <w:t>.  Capitalized terms that are used in this Agreement but not defined herein shall have the meaning ascribed to them in the Enermetrix Network Rules (the “Rules”).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2.</w:t>
        <w:tab/>
      </w:r>
      <w:r>
        <w:rPr>
          <w:sz w:val="16"/>
          <w:u w:val="single"/>
        </w:rPr>
        <w:t>Grant of Access Subject to Compliance With the Rules</w:t>
      </w:r>
      <w:r>
        <w:rPr>
          <w:sz w:val="16"/>
        </w:rPr>
        <w:t>.  The Network Manager hereby grants Seller a limited, nonexclusive, non-transferable right to access and use the Network.  The limited license granted hereby entitles Seller to access and use the Network subject at all times to Seller’s compliance with the Rules.</w:t>
      </w:r>
    </w:p>
    <w:p>
      <w:pPr>
        <w:pStyle w:val="SignatureName"/>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3.</w:t>
        <w:tab/>
      </w:r>
      <w:r>
        <w:rPr>
          <w:sz w:val="16"/>
          <w:u w:val="single"/>
        </w:rPr>
        <w:t>Incorporation of the Rules; Rules Are Subject to Change</w:t>
      </w:r>
      <w:r>
        <w:rPr>
          <w:sz w:val="16"/>
        </w:rPr>
        <w:t xml:space="preserve">. The Rules are expressly incorporated herein.  A copy of the current Rules is attached hereto as </w:t>
      </w:r>
      <w:r>
        <w:rPr>
          <w:sz w:val="16"/>
          <w:u w:val="single"/>
        </w:rPr>
        <w:t>Exhibit A.</w:t>
      </w:r>
      <w:r>
        <w:rPr>
          <w:sz w:val="16"/>
        </w:rPr>
        <w:t xml:space="preserve">  Seller acknowledges that Seller has read the Rules and agrees to all of the terms and conditions of the Rules.  Seller expressly acknowledges that the Rules are subject to change according to the provisions contained in the Rules, and Seller agrees to be bound by any changes or amendments to the Rules that are made after the date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numPr>
          <w:ilvl w:val="0"/>
          <w:numId w:val="1"/>
        </w:numPr>
        <w:tabs>
          <w:tab w:val="left" w:pos="720" w:leader="none"/>
        </w:tabs>
        <w:spacing w:before="0" w:after="120"/>
        <w:ind w:hanging="1440" w:start="1440" w:end="0"/>
        <w:jc w:val="both"/>
        <w:rPr>
          <w:sz w:val="16"/>
        </w:rPr>
      </w:pPr>
      <w:r>
        <w:rPr>
          <w:sz w:val="16"/>
          <w:u w:val="single"/>
        </w:rPr>
        <w:t>Termination.</w:t>
      </w:r>
      <w:r>
        <w:rPr>
          <w:sz w:val="16"/>
        </w:rPr>
        <w:t xml:space="preserve">   </w:t>
      </w:r>
    </w:p>
    <w:p>
      <w:pPr>
        <w:pStyle w:val="BodyTextIndent2"/>
        <w:widowControl/>
        <w:ind w:firstLine="720" w:start="0" w:end="0"/>
        <w:rPr>
          <w:sz w:val="16"/>
        </w:rPr>
      </w:pPr>
      <w:r>
        <w:rPr>
          <w:sz w:val="16"/>
        </w:rPr>
        <w:t>(a)</w:t>
        <w:tab/>
        <w:t>Seller may terminate this Agreement upon providing five (5) days written notice to the Network Manager; provided, however, that Seller agrees to comply with all applicable provisions of the Rules regarding such termination.</w:t>
      </w:r>
    </w:p>
    <w:p>
      <w:pPr>
        <w:pStyle w:val="BodyTextIndent2"/>
        <w:widowControl/>
        <w:ind w:firstLine="720" w:start="0" w:end="0"/>
        <w:rPr>
          <w:sz w:val="16"/>
        </w:rPr>
      </w:pPr>
      <w:r>
        <w:rPr>
          <w:sz w:val="16"/>
        </w:rPr>
      </w:r>
    </w:p>
    <w:p>
      <w:pPr>
        <w:pStyle w:val="FootnoteBase"/>
        <w:keepLines w:val="false"/>
        <w:widowControl/>
        <w:spacing w:lineRule="auto" w:line="240" w:before="0" w:after="120"/>
        <w:rPr/>
      </w:pPr>
      <w:r>
        <w:rPr/>
        <w:t>(b)</w:t>
        <w:tab/>
        <w:t>The Network Manager may terminate this Agreement upon providing five (5) days written notice to the Seller.  Additionally, the Network Manager may terminate this Agreement if the Network Manager, in its sole discretion, determines that the Seller has failed to meet creditworthiness standards established by the Network Manager.  The Network Manager shall have these rights in addition to the rights of the Network Manager with respect to termination and suspension set forth in the Rules.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5.</w:t>
        <w:tab/>
      </w:r>
      <w:r>
        <w:rPr>
          <w:sz w:val="16"/>
          <w:u w:val="single"/>
        </w:rPr>
        <w:t>Due Authorization</w:t>
      </w:r>
      <w:r>
        <w:rPr>
          <w:sz w:val="16"/>
        </w:rPr>
        <w:t xml:space="preserve">.  Seller represents and warrants that Seller has all requisite corporate power and authority to enter into and perform this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6.</w:t>
        <w:tab/>
      </w:r>
      <w:r>
        <w:rPr>
          <w:sz w:val="16"/>
          <w:u w:val="single"/>
        </w:rPr>
        <w:t>Limitation of Liability; Indemnification</w:t>
      </w:r>
      <w:r>
        <w:rPr>
          <w:sz w:val="16"/>
        </w:rPr>
        <w:t>.  Seller acknowledges that the Rules contain provisions (i) limiting the liability of the Network Manager, its Affiliates and their respective directors, officers, employees, agents, and independent contractors (ii) requiring Seller to provide indemnification to the Network Manager and other Users.  Seller expressly agrees to be bound by such limits on liability and indemnification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7.</w:t>
        <w:tab/>
      </w:r>
      <w:r>
        <w:rPr>
          <w:sz w:val="16"/>
          <w:u w:val="single"/>
        </w:rPr>
        <w:t>Network Representative</w:t>
      </w:r>
      <w:r>
        <w:rPr>
          <w:sz w:val="16"/>
        </w:rPr>
        <w:t>.  Seller hereby designates the person whose name is set forth below as Seller’s Network Representative for the purpose of receiving notices from the Network Manager.  The notice addresses of the Network Manager and Seller’s Network Representative are set forth below.  Seller may only change its Network Representative and/or notice address by delivering notice by registered U.S. mail, return receipt requested, to the Network Manager specifying a new Network Representative and/or notice address.  The Network Manager may change its notice address by posting a new notice address on the System (as such term is defined in the Rules).</w:t>
      </w:r>
    </w:p>
    <w:p>
      <w:pPr>
        <w:pStyle w:val="BodyTextInden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r>
    </w:p>
    <w:p>
      <w:pPr>
        <w:pStyle w:val="BodyTextInden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Seller’s Network Representative</w:t>
        <w:tab/>
        <w:tab/>
        <w:t>Network Manager’s Notice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ab/>
        <w:tab/>
        <w:t>And Notice Address:</w:t>
        <w:tab/>
        <w:tab/>
        <w:tab/>
        <w:tab/>
        <w:t>Enermetrix.com,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ab/>
        <w:tab/>
        <w:tab/>
        <w:tab/>
        <w:tab/>
        <w:tab/>
        <w:tab/>
        <w:t>Attn: Network Manager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ab/>
        <w:tab/>
        <w:tab/>
        <w:tab/>
        <w:tab/>
        <w:tab/>
        <w:tab/>
        <w:t>3 Clock Tower Place, Suite 130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ab/>
        <w:tab/>
        <w:tab/>
        <w:tab/>
        <w:tab/>
        <w:tab/>
        <w:tab/>
        <w:t>Maynard, MA 01754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16"/>
        </w:rPr>
      </w:pPr>
      <w:r>
        <w:rPr>
          <w:sz w:val="16"/>
        </w:rPr>
        <w:t xml:space="preserve"> </w:t>
      </w:r>
    </w:p>
    <w:p>
      <w:pPr>
        <w:pStyle w:val="Normal"/>
        <w:rPr/>
      </w:pPr>
      <w:r>
        <w:rPr>
          <w:sz w:val="16"/>
        </w:rPr>
        <w:t>8.</w:t>
        <w:tab/>
      </w:r>
      <w:r>
        <w:rPr>
          <w:sz w:val="16"/>
          <w:u w:val="single"/>
        </w:rPr>
        <w:t>Consent to Credit Check</w:t>
      </w:r>
      <w:r>
        <w:rPr>
          <w:sz w:val="16"/>
        </w:rPr>
        <w:t>.   The undersigned being authorized and acting on behalf of Seller hereby:</w:t>
      </w:r>
    </w:p>
    <w:p>
      <w:pPr>
        <w:pStyle w:val="Normal"/>
        <w:rPr>
          <w:sz w:val="16"/>
        </w:rPr>
      </w:pPr>
      <w:r>
        <w:rPr>
          <w:sz w:val="16"/>
        </w:rPr>
      </w:r>
    </w:p>
    <w:p>
      <w:pPr>
        <w:pStyle w:val="Normal"/>
        <w:ind w:firstLine="720" w:end="0"/>
        <w:rPr>
          <w:sz w:val="16"/>
        </w:rPr>
      </w:pPr>
      <w:r>
        <w:rPr>
          <w:sz w:val="16"/>
        </w:rPr>
        <w:t xml:space="preserve">(a) </w:t>
        <w:tab/>
        <w:t>authorizes the Network Manager to make such inquiries as it considers to be necessary to obtain credit information and authorizes Seller’s bank(s) of record to release credit information regarding Seller’s account(s); and</w:t>
      </w:r>
    </w:p>
    <w:p>
      <w:pPr>
        <w:pStyle w:val="Normal"/>
        <w:ind w:firstLine="720" w:end="0"/>
        <w:rPr>
          <w:sz w:val="16"/>
        </w:rPr>
      </w:pPr>
      <w:r>
        <w:rPr>
          <w:sz w:val="16"/>
        </w:rPr>
      </w:r>
    </w:p>
    <w:p>
      <w:pPr>
        <w:pStyle w:val="Normal"/>
        <w:ind w:firstLine="720" w:end="0"/>
        <w:rPr>
          <w:sz w:val="16"/>
        </w:rPr>
      </w:pPr>
      <w:r>
        <w:rPr>
          <w:sz w:val="16"/>
        </w:rPr>
        <w:t xml:space="preserve">(b) </w:t>
        <w:tab/>
        <w:t>represents and warrants that all information (including any financial statements) now or hereafter supplied by or on behalf of Seller is true and correct and does not omit any information whose omission would cause the information supplied to be materially misleading or incomplete.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jc w:val="both"/>
        <w:rPr/>
      </w:pPr>
      <w:r>
        <w:rPr>
          <w:sz w:val="16"/>
        </w:rPr>
        <w:t>9.</w:t>
        <w:tab/>
      </w:r>
      <w:r>
        <w:rPr>
          <w:sz w:val="16"/>
          <w:u w:val="single"/>
        </w:rPr>
        <w:t>Fees</w:t>
      </w:r>
      <w:r>
        <w:rPr>
          <w:sz w:val="16"/>
        </w:rPr>
        <w:t xml:space="preserve">.  Seller shall pay the Network Manager fees in accordance with the fee schedules posted on the System and in accordance with applicable provisions of the Rules regarding the payment of fees.  </w:t>
      </w:r>
    </w:p>
    <w:p>
      <w:pPr>
        <w:pStyle w:val="Normal"/>
        <w:tabs>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jc w:val="both"/>
        <w:rPr/>
      </w:pPr>
      <w:r>
        <w:rPr>
          <w:sz w:val="16"/>
        </w:rPr>
        <w:t>10.</w:t>
        <w:tab/>
      </w:r>
      <w:r>
        <w:rPr>
          <w:sz w:val="16"/>
          <w:u w:val="single"/>
        </w:rPr>
        <w:t>Information Concerning Credit Scores</w:t>
      </w:r>
      <w:r>
        <w:rPr>
          <w:sz w:val="16"/>
        </w:rPr>
        <w:t xml:space="preserve">.  The Network Manager may make available to Seller Credit Scores (as such term is defined in the Rules) and other information regarding the credit history of certain parties.  Such information may be based on information provided by third parties.  Seller expressly agrees to be bound by the terms of </w:t>
      </w:r>
      <w:r>
        <w:rPr>
          <w:sz w:val="16"/>
          <w:u w:val="single"/>
        </w:rPr>
        <w:t>Exhibit B</w:t>
      </w:r>
      <w:r>
        <w:rPr>
          <w:sz w:val="16"/>
        </w:rPr>
        <w:t xml:space="preserv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11.</w:t>
        <w:tab/>
      </w:r>
      <w:r>
        <w:rPr>
          <w:sz w:val="16"/>
          <w:u w:val="single"/>
        </w:rPr>
        <w:t>Dispute Resolution; Choice of Law</w:t>
      </w:r>
      <w:r>
        <w:rPr>
          <w:sz w:val="16"/>
        </w:rPr>
        <w:t xml:space="preserve">.  Seller expressly acknowledges that the Rules contain provisions regarding arbitration of disputes, venue of proceedings and choice of applicable law, and Seller expressly agrees to be bound by such provisions.  Seller also agrees that all claims, controversies, disputes or differences arising hereunder or relating hereto shall be settled and determined in accordance with the provisions of the Rules regarding arbitration of disputes, including without limitation provisions of Rules regarding venue and choice of law.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12.</w:t>
        <w:tab/>
      </w:r>
      <w:r>
        <w:rPr>
          <w:sz w:val="16"/>
          <w:u w:val="single"/>
        </w:rPr>
        <w:t>Assignment.</w:t>
      </w:r>
      <w:r>
        <w:rPr>
          <w:sz w:val="16"/>
        </w:rPr>
        <w:t xml:space="preserve">  Seller may not assign this Agreement without the written consent of the Network Manager.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16"/>
        </w:rPr>
        <w:t>13.</w:t>
        <w:tab/>
      </w:r>
      <w:r>
        <w:rPr>
          <w:sz w:val="16"/>
          <w:u w:val="single"/>
        </w:rPr>
        <w:t>General Matters</w:t>
      </w:r>
      <w:r>
        <w:rPr>
          <w:sz w:val="16"/>
        </w:rPr>
        <w:t xml:space="preserve">.  This Agreement may be executed in counterparts so that together, all shall constitute one original document.  No waiver of any provision hereof shall be valid except to the extent set forth in a writing by the party giving the waiver.  No such waiver will constitute a waiver of any other provision or constitute a continuing waiver unless expressly provided.  Any provision of this Agreement held to be invalid, illegal or unenforceable will be severed from this Agreement without affecting the validity, legality or enforceability of this Agreement.  This Agreement, together with the Rules and </w:t>
      </w:r>
      <w:r>
        <w:rPr>
          <w:sz w:val="16"/>
          <w:u w:val="single"/>
        </w:rPr>
        <w:t>Exhibit B</w:t>
      </w:r>
      <w:r>
        <w:rPr>
          <w:sz w:val="16"/>
        </w:rPr>
        <w:t>, constitutes the entire understanding of the Parties with regard to the subject matter hereof.  In the event of a conflict between the Rules and this Agreement, the Rules shall control.. This Agreement shall be governed and interpreted in accordance with the laws of the State of New York, excluding its laws regarding conflicts of laws.</w:t>
      </w:r>
    </w:p>
    <w:p>
      <w:pPr>
        <w:pStyle w:val="Normal"/>
        <w:rPr>
          <w:sz w:val="16"/>
        </w:rPr>
      </w:pPr>
      <w:r>
        <w:rPr>
          <w:sz w:val="16"/>
        </w:rPr>
      </w:r>
    </w:p>
    <w:p>
      <w:pPr>
        <w:pStyle w:val="Normal"/>
        <w:spacing w:before="0" w:after="240"/>
        <w:ind w:firstLine="720" w:end="0"/>
        <w:jc w:val="both"/>
        <w:rPr>
          <w:sz w:val="16"/>
        </w:rPr>
      </w:pPr>
      <w:r>
        <w:rPr>
          <w:sz w:val="16"/>
        </w:rPr>
        <w:t>IN WITNESS WHEREOF, the Parties have duly executed this Agreement as of the day and year stated above.</w:t>
        <w:tab/>
      </w:r>
    </w:p>
    <w:p>
      <w:pPr>
        <w:pStyle w:val="Normal"/>
        <w:rPr>
          <w:sz w:val="16"/>
        </w:rPr>
      </w:pPr>
      <w:r>
        <w:rPr>
          <w:sz w:val="16"/>
        </w:rPr>
        <w:t xml:space="preserve">ENERMETRIX.COM, INC. </w:t>
        <w:tab/>
        <w:tab/>
        <w:tab/>
        <w:tab/>
        <w:tab/>
        <w:t>___________________________________</w:t>
      </w:r>
    </w:p>
    <w:p>
      <w:pPr>
        <w:pStyle w:val="Normal"/>
        <w:rPr>
          <w:sz w:val="16"/>
        </w:rPr>
      </w:pPr>
      <w:r>
        <w:rPr>
          <w:sz w:val="16"/>
        </w:rPr>
        <w:t>(the “Network Manager”)</w:t>
        <w:tab/>
        <w:tab/>
        <w:tab/>
        <w:tab/>
        <w:tab/>
        <w:tab/>
        <w:t>(Seller)</w:t>
      </w:r>
    </w:p>
    <w:p>
      <w:pPr>
        <w:pStyle w:val="Normal"/>
        <w:rPr>
          <w:sz w:val="16"/>
        </w:rPr>
      </w:pPr>
      <w:r>
        <w:rPr>
          <w:sz w:val="16"/>
        </w:rPr>
      </w:r>
    </w:p>
    <w:p>
      <w:pPr>
        <w:pStyle w:val="Normal"/>
        <w:rPr>
          <w:sz w:val="16"/>
        </w:rPr>
      </w:pPr>
      <w:r>
        <w:rPr>
          <w:sz w:val="16"/>
        </w:rPr>
        <w:t xml:space="preserve">By:_________________________________     </w:t>
        <w:tab/>
        <w:t xml:space="preserve">      </w:t>
        <w:tab/>
        <w:t xml:space="preserve">           By:_________________________________</w:t>
      </w:r>
    </w:p>
    <w:p>
      <w:pPr>
        <w:pStyle w:val="Normal"/>
        <w:rPr>
          <w:sz w:val="16"/>
        </w:rPr>
      </w:pPr>
      <w:r>
        <w:rPr>
          <w:sz w:val="16"/>
        </w:rPr>
      </w:r>
    </w:p>
    <w:p>
      <w:pPr>
        <w:pStyle w:val="Normal"/>
        <w:tabs>
          <w:tab w:val="clear" w:pos="720"/>
          <w:tab w:val="left" w:pos="1" w:leader="none"/>
        </w:tabs>
        <w:spacing w:before="0" w:after="240"/>
        <w:jc w:val="both"/>
        <w:rPr/>
      </w:pPr>
      <w:r>
        <w:rPr>
          <w:sz w:val="16"/>
        </w:rPr>
        <w:t>Name:</w:t>
      </w:r>
      <w:r>
        <w:rPr>
          <w:sz w:val="16"/>
          <w:u w:val="single"/>
        </w:rPr>
        <w:tab/>
        <w:tab/>
        <w:tab/>
        <w:tab/>
        <w:tab/>
        <w:tab/>
      </w:r>
      <w:r>
        <w:rPr>
          <w:sz w:val="16"/>
        </w:rPr>
        <w:t xml:space="preserve">           Name:</w:t>
      </w:r>
      <w:r>
        <w:rPr>
          <w:sz w:val="16"/>
          <w:u w:val="single"/>
        </w:rPr>
        <w:tab/>
        <w:tab/>
        <w:tab/>
        <w:tab/>
        <w:tab/>
        <w:tab/>
      </w:r>
    </w:p>
    <w:p>
      <w:pPr>
        <w:pStyle w:val="Normal"/>
        <w:tabs>
          <w:tab w:val="clear" w:pos="720"/>
          <w:tab w:val="left" w:pos="1" w:leader="none"/>
        </w:tabs>
        <w:spacing w:before="0" w:after="240"/>
        <w:jc w:val="both"/>
        <w:rPr>
          <w:sz w:val="16"/>
        </w:rPr>
      </w:pPr>
      <w:r>
        <w:rPr>
          <w:sz w:val="16"/>
        </w:rPr>
        <w:t>Title:</w:t>
      </w:r>
      <w:r>
        <w:rPr>
          <w:sz w:val="16"/>
          <w:u w:val="single"/>
        </w:rPr>
        <w:tab/>
        <w:tab/>
        <w:tab/>
        <w:tab/>
        <w:tab/>
        <w:tab/>
        <w:t xml:space="preserve">  </w:t>
      </w:r>
      <w:r>
        <w:rPr>
          <w:sz w:val="16"/>
        </w:rPr>
        <w:t xml:space="preserve">         Title:</w:t>
      </w:r>
      <w:r>
        <w:rPr>
          <w:sz w:val="16"/>
          <w:u w:val="single"/>
        </w:rPr>
        <w:tab/>
        <w:tab/>
        <w:tab/>
        <w:tab/>
        <w:tab/>
        <w:tab/>
      </w:r>
    </w:p>
    <w:p>
      <w:pPr>
        <w:pStyle w:val="Normal"/>
        <w:tabs>
          <w:tab w:val="left" w:pos="720" w:leader="none"/>
          <w:tab w:val="left" w:pos="1080" w:leader="none"/>
          <w:tab w:val="left" w:pos="1620" w:leader="none"/>
        </w:tabs>
        <w:ind w:hanging="540" w:start="540" w:end="0"/>
        <w:jc w:val="both"/>
        <w:rPr>
          <w:sz w:val="16"/>
        </w:rPr>
      </w:pPr>
      <w:r>
        <w:rPr>
          <w:sz w:val="16"/>
        </w:rPr>
        <w:t>1.</w:t>
        <w:tab/>
        <w:t>All information furnished by Enermetrix to Seller regarding the credit history of a party, including Credit Scores (as defined in the Rules) and all information that is derived, in whole or in part, from information provided by Dun &amp; Bradstreet (“D&amp;B”), (collectively, the “Information”) that is delivered to Seller is for the exclusive use of Seller to assist, along with other information Seller may have, in Seller’s business decisions relating to other businesses.  Such Information may not be used in any way to establish an individual's eligibility for credit or insurance for personal, family or household purposes or for employment.  It also may not be used to engage in any unlawful activity.</w:t>
      </w:r>
    </w:p>
    <w:p>
      <w:pPr>
        <w:pStyle w:val="Normal"/>
        <w:tabs>
          <w:tab w:val="left" w:pos="720" w:leader="none"/>
          <w:tab w:val="left" w:pos="1080" w:leader="none"/>
          <w:tab w:val="left" w:pos="1620" w:leader="none"/>
        </w:tabs>
        <w:ind w:hanging="540" w:start="540" w:end="0"/>
        <w:jc w:val="both"/>
        <w:rPr>
          <w:sz w:val="16"/>
        </w:rPr>
      </w:pPr>
      <w:r>
        <w:rPr>
          <w:sz w:val="16"/>
        </w:rPr>
      </w:r>
    </w:p>
    <w:p>
      <w:pPr>
        <w:pStyle w:val="Normal"/>
        <w:tabs>
          <w:tab w:val="left" w:pos="720" w:leader="none"/>
          <w:tab w:val="left" w:pos="1080" w:leader="none"/>
          <w:tab w:val="left" w:pos="1620" w:leader="none"/>
        </w:tabs>
        <w:ind w:hanging="540" w:start="540" w:end="0"/>
        <w:jc w:val="both"/>
        <w:rPr>
          <w:sz w:val="16"/>
        </w:rPr>
      </w:pPr>
      <w:r>
        <w:rPr>
          <w:sz w:val="16"/>
        </w:rPr>
        <w:t>2.</w:t>
        <w:tab/>
        <w:t>Seller shall hold all Information in confidence, and shall not copy Information (except for internal purposes), and shall not reveal or make accessible the Information in whole or in part to any others unless required by law or unless Seller first obtains D&amp;B's and Enermetrix’s written consent.  Seller shall not request Information for the use of others.  Information may not be used by Seller to provide advice or recommendations to others and is only for Seller’s internal use.</w:t>
      </w:r>
    </w:p>
    <w:p>
      <w:pPr>
        <w:pStyle w:val="Normal"/>
        <w:tabs>
          <w:tab w:val="left" w:pos="720" w:leader="none"/>
          <w:tab w:val="left" w:pos="1080" w:leader="none"/>
          <w:tab w:val="left" w:pos="1620" w:leader="none"/>
        </w:tabs>
        <w:ind w:hanging="540" w:start="540" w:end="0"/>
        <w:jc w:val="both"/>
        <w:rPr>
          <w:sz w:val="16"/>
        </w:rPr>
      </w:pPr>
      <w:r>
        <w:rPr>
          <w:sz w:val="16"/>
        </w:rPr>
      </w:r>
    </w:p>
    <w:p>
      <w:pPr>
        <w:pStyle w:val="Normal"/>
        <w:tabs>
          <w:tab w:val="left" w:pos="720" w:leader="none"/>
          <w:tab w:val="left" w:pos="1080" w:leader="none"/>
          <w:tab w:val="left" w:pos="1620" w:leader="none"/>
        </w:tabs>
        <w:ind w:hanging="540" w:start="540" w:end="0"/>
        <w:jc w:val="both"/>
        <w:rPr>
          <w:sz w:val="16"/>
        </w:rPr>
      </w:pPr>
      <w:r>
        <w:rPr>
          <w:sz w:val="16"/>
        </w:rPr>
        <w:t>3.</w:t>
        <w:tab/>
        <w:t>SELLER ACKNOWLEDGES THAT D&amp;B AND ENERMETRIX DO NOT, AND COULD NOT FOR THE FEES CHARGED HEREUNDER, GUARANTEE OR WARRANT THE CORRECTNESS, COMPLETENESS, CURRENTNESS, MERCHANTABILITY OR FITNESS FOR A PARTICULAR PURPOSE OF THE INFORMATION. SELLER ACKNOWLEDGES THAT NEITHER ENERMETRIX NOR D&amp;B, IN FURNISHING INFORMATION, DOES OR CAN UNDERWRITE OR ASSUME SELLER’S RISK IN ANY MANNER WHATSOEVER.  CREDIT INSURANCE MAY BE AVAILABLE TO THOSE NOT WISHING TO ASSUME SUCH RISK.  SELLER THEREFORE AGREES THAT D&amp;B AND ENERMETRIX SHALL NOT BE LIABLE TO SELLER FOR ANY LOSS OR INJURY ARISING OUT OF OR CAUSED, IN WHOLE OR IN PART, BY D&amp;B'S OR ENERMETRIX’S NEGLIGENT ACTS OR OMISSIONS IN PROCURING, COMPILING, COLLECTING, INTERPRETING, REPORTING, COMMUNICATING OR DELIVERING INFORMATION.</w:t>
      </w:r>
    </w:p>
    <w:p>
      <w:pPr>
        <w:pStyle w:val="Normal"/>
        <w:tabs>
          <w:tab w:val="left" w:pos="720" w:leader="none"/>
          <w:tab w:val="left" w:pos="1080" w:leader="none"/>
          <w:tab w:val="left" w:pos="1620" w:leader="none"/>
        </w:tabs>
        <w:ind w:hanging="540" w:start="540" w:end="0"/>
        <w:jc w:val="both"/>
        <w:rPr>
          <w:sz w:val="16"/>
        </w:rPr>
      </w:pPr>
      <w:r>
        <w:rPr>
          <w:sz w:val="16"/>
        </w:rPr>
      </w:r>
    </w:p>
    <w:p>
      <w:pPr>
        <w:pStyle w:val="Normal"/>
        <w:tabs>
          <w:tab w:val="left" w:pos="720" w:leader="none"/>
          <w:tab w:val="left" w:pos="1080" w:leader="none"/>
          <w:tab w:val="left" w:pos="1620" w:leader="none"/>
        </w:tabs>
        <w:ind w:hanging="540" w:start="540" w:end="0"/>
        <w:jc w:val="both"/>
        <w:rPr>
          <w:sz w:val="16"/>
        </w:rPr>
      </w:pPr>
      <w:r>
        <w:rPr>
          <w:sz w:val="16"/>
        </w:rPr>
        <w:t>4.</w:t>
        <w:tab/>
        <w:t>SELLER AGREES THAT NEITHER ENERMETRIX NOR D&amp;B WILL BE LIABLE FOR INCIDENTAL OR CONSEQUENTIAL DAMAGES, EVEN IF ADVISED OF THE POSSIBILITY OF SUCH DAMAGES.</w:t>
      </w:r>
    </w:p>
    <w:p>
      <w:pPr>
        <w:pStyle w:val="Normal"/>
        <w:tabs>
          <w:tab w:val="left" w:pos="720" w:leader="none"/>
          <w:tab w:val="left" w:pos="1080" w:leader="none"/>
          <w:tab w:val="left" w:pos="1620" w:leader="none"/>
        </w:tabs>
        <w:ind w:hanging="540" w:start="540" w:end="0"/>
        <w:jc w:val="both"/>
        <w:rPr>
          <w:sz w:val="16"/>
        </w:rPr>
      </w:pPr>
      <w:r>
        <w:rPr>
          <w:sz w:val="16"/>
        </w:rPr>
      </w:r>
    </w:p>
    <w:p>
      <w:pPr>
        <w:pStyle w:val="BodyTextIndent"/>
        <w:rPr/>
      </w:pPr>
      <w:r>
        <w:rPr/>
        <w:t>5.</w:t>
        <w:tab/>
        <w:t>IF, NOTWITHSTANDING PARAGRAPHS 3 AND 4 ABOVE, LIABILITY CAN BE IMPOSED ON ENERMETRIX AND/OR D&amp;B, THEN SELLER AGREES THAT ENERMETRIX’S AND/OR D&amp;B'S AGGREGATE LIABILITY FOR ANY AND ALL LOSSES OR INJURIES TO SELLER ARISING OUT OF ANY ACTS OR OMISSIONS OF ENERMETRIX AND/OR D&amp;B IN CONNECTION WITH ANYTHING TO BE DONE OR FURNISHED HEREUNDER, REGARDLESS OF THE CAUSE OF THE LOSS OR INJURY AND REGARDLESS OF THE NATURE OF THE LEGAL OR EQUITABLE RIGHT CLAIMED TO HAVE BEEN VIOLATED, SHALL NOT EXCEED $10,000, AND SELLER COVENANTS AND PROMISES THAT IT WILL NOT SUE ENERMETRIX AND/OR D&amp;B FOR A GREATER AMOUNT.</w:t>
      </w:r>
    </w:p>
    <w:p>
      <w:pPr>
        <w:pStyle w:val="Normal"/>
        <w:tabs>
          <w:tab w:val="left" w:pos="720" w:leader="none"/>
          <w:tab w:val="left" w:pos="1080" w:leader="none"/>
          <w:tab w:val="left" w:pos="1620" w:leader="none"/>
        </w:tabs>
        <w:ind w:hanging="540" w:start="540" w:end="0"/>
        <w:jc w:val="both"/>
        <w:rPr>
          <w:sz w:val="16"/>
        </w:rPr>
      </w:pPr>
      <w:r>
        <w:rPr>
          <w:sz w:val="16"/>
        </w:rPr>
      </w:r>
    </w:p>
    <w:p>
      <w:pPr>
        <w:pStyle w:val="Normal"/>
        <w:tabs>
          <w:tab w:val="left" w:pos="720" w:leader="none"/>
          <w:tab w:val="left" w:pos="1080" w:leader="none"/>
          <w:tab w:val="left" w:pos="1620" w:leader="none"/>
        </w:tabs>
        <w:ind w:hanging="540" w:start="540" w:end="0"/>
        <w:jc w:val="both"/>
        <w:rPr>
          <w:sz w:val="16"/>
        </w:rPr>
      </w:pPr>
      <w:r>
        <w:rPr>
          <w:sz w:val="16"/>
        </w:rPr>
        <w:t>6.</w:t>
        <w:tab/>
        <w:t>Seller acknowledges that all Information is proprietary to Enermetrix and is proprietary to D&amp;B to the extent information is identified as being provided by D&amp;B, and comprise: (a) works of original authorship, including compiled information containing Enermetrix’s selection, arrangement and coordination and expression of such information or pre-existing material it has created, gathered or assembled; (b) confidential and trade secret information; and (c) information that has been created, developed and maintained by Enermetrix or D&amp;B at great expense of time and money such that misappropriation or unauthorized use by others for commercial gain would unfairly and irreparably harm Enermetrix and/or D&amp;B.  Seller shall not commit or permit any act or omission that would impair Enermetrix’s and/or D&amp;B’s proprietary and intellectual property rights in the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Seen and Agreed by Seller:   Seller Name: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ab/>
        <w:tab/>
        <w:tab/>
        <w:tab/>
        <w:tab/>
        <w:t xml:space="preserve">By: </w:t>
        <w:tab/>
        <w:t>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ab/>
        <w:tab/>
        <w:tab/>
        <w:tab/>
        <w:tab/>
        <w:t>Name:</w:t>
        <w:tab/>
        <w:t>________________________</w:t>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ab/>
        <w:tab/>
        <w:tab/>
        <w:tab/>
        <w:tab/>
        <w:t xml:space="preserve">Title: </w:t>
        <w:tab/>
        <w:t>________________________</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hanging="0" w:start="2160" w:end="0"/>
      <w:jc w:val="both"/>
    </w:pPr>
    <w:rPr>
      <w:sz w:val="20"/>
      <w:szCs w:val="20"/>
    </w:rPr>
  </w:style>
  <w:style w:type="paragraph" w:styleId="FootnoteText">
    <w:name w:val="footnote text"/>
    <w:basedOn w:val="Normal"/>
    <w:pPr>
      <w:keepLines/>
      <w:widowControl w:val="false"/>
      <w:spacing w:lineRule="atLeast" w:line="200" w:before="0" w:after="360"/>
      <w:ind w:firstLine="720" w:start="0" w:end="0"/>
    </w:pPr>
    <w:rPr>
      <w:sz w:val="22"/>
      <w:szCs w:val="20"/>
    </w:rPr>
  </w:style>
  <w:style w:type="paragraph" w:styleId="Signature">
    <w:name w:val="Signature"/>
    <w:basedOn w:val="Normal"/>
    <w:pPr>
      <w:ind w:hanging="0" w:start="4320" w:end="0"/>
    </w:pPr>
    <w:rPr/>
  </w:style>
  <w:style w:type="paragraph" w:styleId="SignatureName">
    <w:name w:val="Signature Name"/>
    <w:basedOn w:val="Signature"/>
    <w:next w:val="Normal"/>
    <w:qFormat/>
    <w:pPr>
      <w:keepNext w:val="true"/>
      <w:keepLines/>
      <w:spacing w:lineRule="atLeast" w:line="240" w:before="660" w:after="0"/>
      <w:ind w:hanging="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noteBase">
    <w:name w:val="Footnote Base"/>
    <w:basedOn w:val="BodyText"/>
    <w:qFormat/>
    <w:pPr>
      <w:keepLines/>
      <w:widowControl w:val="false"/>
      <w:spacing w:lineRule="atLeast" w:line="200" w:before="0" w:after="360"/>
      <w:ind w:firstLine="720" w:start="0" w:end="0"/>
      <w:jc w:val="both"/>
    </w:pPr>
    <w:rPr>
      <w:sz w:val="16"/>
      <w:szCs w:val="20"/>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18"/>
    </w:rPr>
  </w:style>
  <w:style w:type="paragraph" w:styleId="BodyTextIndent">
    <w:name w:val="Body Text Indent"/>
    <w:basedOn w:val="Normal"/>
    <w:pPr>
      <w:tabs>
        <w:tab w:val="left" w:pos="720" w:leader="none"/>
        <w:tab w:val="left" w:pos="1080" w:leader="none"/>
        <w:tab w:val="left" w:pos="1620" w:leader="none"/>
      </w:tabs>
      <w:ind w:hanging="540" w:start="540" w:end="0"/>
      <w:jc w:val="both"/>
    </w:pPr>
    <w:rPr>
      <w:sz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2001-01-22T17:59:00Z</dcterms:created>
  <dc:creator>bcampbell</dc:creator>
  <dc:description/>
  <dc:language>en-CA</dc:language>
  <cp:lastModifiedBy>pglaessner</cp:lastModifiedBy>
  <cp:lastPrinted>2000-05-17T20:35:00Z</cp:lastPrinted>
  <dcterms:modified xsi:type="dcterms:W3CDTF">2001-01-22T17:59:00Z</dcterms:modified>
  <cp:revision>2</cp:revision>
  <dc:subject/>
  <dc:title>ENERMETRIX</dc:title>
</cp:coreProperties>
</file>