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Select Energy, Inc., a ________corporation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of July,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Northeast Utilities shall have defaulted on its indebted</w:t>
        <w:softHyphen/>
        <w:t xml:space="preserve">ness to third parties, resulting in an acceleration of obligations of Northeast Utilities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the Collateral Threshold specified below opposite the Credit Rating for the party, then such party as beneficiary party may request the other party to establish a Letter of Credit in an amount equal to the Termination Payment in excess of the Collateral Threshold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tbl>
      <w:tblPr>
        <w:tblW w:w="5400" w:type="dxa"/>
        <w:jc w:val="start"/>
        <w:tblInd w:w="0" w:type="dxa"/>
        <w:tblLayout w:type="fixed"/>
        <w:tblCellMar>
          <w:top w:w="0" w:type="dxa"/>
          <w:start w:w="108" w:type="dxa"/>
          <w:bottom w:w="0" w:type="dxa"/>
          <w:end w:w="108" w:type="dxa"/>
        </w:tblCellMar>
      </w:tblPr>
      <w:tblGrid>
        <w:gridCol w:w="1350"/>
        <w:gridCol w:w="1350"/>
        <w:gridCol w:w="1350"/>
        <w:gridCol w:w="1350"/>
      </w:tblGrid>
      <w:tr>
        <w:trPr/>
        <w:tc>
          <w:tcPr>
            <w:tcW w:w="1350"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p>
            <w:pPr>
              <w:pStyle w:val="Normal"/>
              <w:rPr>
                <w:rFonts w:ascii="Arial Narrow" w:hAnsi="Arial Narrow" w:cs="Arial Narrow"/>
                <w:sz w:val="18"/>
                <w:u w:val="single"/>
              </w:rPr>
            </w:pPr>
            <w:r>
              <w:rPr>
                <w:rFonts w:cs="Arial Narrow" w:ascii="Arial Narrow" w:hAnsi="Arial Narrow"/>
                <w:sz w:val="18"/>
                <w:u w:val="single"/>
              </w:rPr>
              <w:t>S&amp;P</w:t>
            </w:r>
          </w:p>
        </w:tc>
        <w:tc>
          <w:tcPr>
            <w:tcW w:w="1350"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p>
            <w:pPr>
              <w:pStyle w:val="Normal"/>
              <w:rPr>
                <w:rFonts w:ascii="Arial Narrow" w:hAnsi="Arial Narrow" w:cs="Arial Narrow"/>
                <w:sz w:val="18"/>
                <w:u w:val="single"/>
              </w:rPr>
            </w:pPr>
            <w:r>
              <w:rPr>
                <w:rFonts w:cs="Arial Narrow" w:ascii="Arial Narrow" w:hAnsi="Arial Narrow"/>
                <w:sz w:val="18"/>
                <w:u w:val="single"/>
              </w:rPr>
              <w:t>Moody’s</w:t>
            </w:r>
          </w:p>
        </w:tc>
        <w:tc>
          <w:tcPr>
            <w:tcW w:w="1350" w:type="dxa"/>
            <w:tcBorders/>
          </w:tcPr>
          <w:p>
            <w:pPr>
              <w:pStyle w:val="Normal"/>
              <w:rPr>
                <w:rFonts w:ascii="Arial Narrow" w:hAnsi="Arial Narrow" w:cs="Arial Narrow"/>
                <w:sz w:val="18"/>
                <w:u w:val="single"/>
              </w:rPr>
            </w:pPr>
            <w:r>
              <w:rPr>
                <w:rFonts w:cs="Arial Narrow" w:ascii="Arial Narrow" w:hAnsi="Arial Narrow"/>
                <w:sz w:val="18"/>
                <w:u w:val="single"/>
              </w:rPr>
              <w:t>Customer’s Collateral Threshold</w:t>
            </w:r>
          </w:p>
        </w:tc>
        <w:tc>
          <w:tcPr>
            <w:tcW w:w="1350" w:type="dxa"/>
            <w:tcBorders/>
          </w:tcPr>
          <w:p>
            <w:pPr>
              <w:pStyle w:val="Normal"/>
              <w:rPr>
                <w:rFonts w:ascii="Arial Narrow" w:hAnsi="Arial Narrow" w:cs="Arial Narrow"/>
                <w:sz w:val="18"/>
                <w:u w:val="single"/>
              </w:rPr>
            </w:pPr>
            <w:r>
              <w:rPr>
                <w:rFonts w:cs="Arial Narrow" w:ascii="Arial Narrow" w:hAnsi="Arial Narrow"/>
                <w:sz w:val="18"/>
                <w:u w:val="single"/>
              </w:rPr>
              <w:t>Company’s Collateral Threshold</w:t>
            </w:r>
          </w:p>
        </w:tc>
      </w:tr>
      <w:tr>
        <w:trPr/>
        <w:tc>
          <w:tcPr>
            <w:tcW w:w="1350" w:type="dxa"/>
            <w:tcBorders/>
          </w:tcPr>
          <w:p>
            <w:pPr>
              <w:pStyle w:val="Normal"/>
              <w:rPr>
                <w:rFonts w:ascii="Arial Narrow" w:hAnsi="Arial Narrow" w:cs="Arial Narrow"/>
                <w:sz w:val="18"/>
              </w:rPr>
            </w:pPr>
            <w:r>
              <w:rPr>
                <w:rFonts w:cs="Arial Narrow" w:ascii="Arial Narrow" w:hAnsi="Arial Narrow"/>
                <w:sz w:val="18"/>
              </w:rPr>
              <w:t>A- or above</w:t>
            </w:r>
          </w:p>
        </w:tc>
        <w:tc>
          <w:tcPr>
            <w:tcW w:w="1350" w:type="dxa"/>
            <w:tcBorders/>
          </w:tcPr>
          <w:p>
            <w:pPr>
              <w:pStyle w:val="Normal"/>
              <w:rPr>
                <w:rFonts w:ascii="Arial Narrow" w:hAnsi="Arial Narrow" w:cs="Arial Narrow"/>
                <w:sz w:val="18"/>
              </w:rPr>
            </w:pPr>
            <w:r>
              <w:rPr>
                <w:rFonts w:cs="Arial Narrow" w:ascii="Arial Narrow" w:hAnsi="Arial Narrow"/>
                <w:sz w:val="18"/>
              </w:rPr>
              <w:t>A3 or above</w:t>
            </w:r>
          </w:p>
        </w:tc>
        <w:tc>
          <w:tcPr>
            <w:tcW w:w="1350" w:type="dxa"/>
            <w:tcBorders/>
          </w:tcPr>
          <w:p>
            <w:pPr>
              <w:pStyle w:val="Normal"/>
              <w:rPr>
                <w:rFonts w:ascii="Arial Narrow" w:hAnsi="Arial Narrow" w:cs="Arial Narrow"/>
                <w:sz w:val="18"/>
              </w:rPr>
            </w:pPr>
            <w:r>
              <w:rPr>
                <w:rFonts w:cs="Arial Narrow" w:ascii="Arial Narrow" w:hAnsi="Arial Narrow"/>
                <w:sz w:val="18"/>
              </w:rPr>
              <w:t>$4,000,000</w:t>
            </w:r>
          </w:p>
        </w:tc>
        <w:tc>
          <w:tcPr>
            <w:tcW w:w="1350" w:type="dxa"/>
            <w:tcBorders/>
          </w:tcPr>
          <w:p>
            <w:pPr>
              <w:pStyle w:val="Normal"/>
              <w:rPr>
                <w:rFonts w:ascii="Arial Narrow" w:hAnsi="Arial Narrow" w:cs="Arial Narrow"/>
                <w:sz w:val="18"/>
              </w:rPr>
            </w:pPr>
            <w:r>
              <w:rPr>
                <w:rFonts w:cs="Arial Narrow" w:ascii="Arial Narrow" w:hAnsi="Arial Narrow"/>
                <w:sz w:val="18"/>
              </w:rPr>
              <w:t>$9,000,000</w:t>
            </w:r>
          </w:p>
        </w:tc>
      </w:tr>
      <w:tr>
        <w:trPr/>
        <w:tc>
          <w:tcPr>
            <w:tcW w:w="1350" w:type="dxa"/>
            <w:tcBorders/>
          </w:tcPr>
          <w:p>
            <w:pPr>
              <w:pStyle w:val="Normal"/>
              <w:rPr>
                <w:rFonts w:ascii="Arial Narrow" w:hAnsi="Arial Narrow" w:cs="Arial Narrow"/>
                <w:sz w:val="18"/>
              </w:rPr>
            </w:pPr>
            <w:r>
              <w:rPr>
                <w:rFonts w:cs="Arial Narrow" w:ascii="Arial Narrow" w:hAnsi="Arial Narrow"/>
                <w:sz w:val="18"/>
              </w:rPr>
              <w:t>BBB+</w:t>
            </w:r>
          </w:p>
        </w:tc>
        <w:tc>
          <w:tcPr>
            <w:tcW w:w="1350" w:type="dxa"/>
            <w:tcBorders/>
          </w:tcPr>
          <w:p>
            <w:pPr>
              <w:pStyle w:val="Normal"/>
              <w:rPr>
                <w:rFonts w:ascii="Arial Narrow" w:hAnsi="Arial Narrow" w:cs="Arial Narrow"/>
                <w:sz w:val="18"/>
              </w:rPr>
            </w:pPr>
            <w:r>
              <w:rPr>
                <w:rFonts w:cs="Arial Narrow" w:ascii="Arial Narrow" w:hAnsi="Arial Narrow"/>
                <w:sz w:val="18"/>
              </w:rPr>
              <w:t>Baa1</w:t>
            </w:r>
          </w:p>
        </w:tc>
        <w:tc>
          <w:tcPr>
            <w:tcW w:w="1350" w:type="dxa"/>
            <w:tcBorders/>
          </w:tcPr>
          <w:p>
            <w:pPr>
              <w:pStyle w:val="Normal"/>
              <w:rPr>
                <w:rFonts w:ascii="Arial Narrow" w:hAnsi="Arial Narrow" w:cs="Arial Narrow"/>
                <w:sz w:val="18"/>
              </w:rPr>
            </w:pPr>
            <w:r>
              <w:rPr>
                <w:rFonts w:cs="Arial Narrow" w:ascii="Arial Narrow" w:hAnsi="Arial Narrow"/>
                <w:sz w:val="18"/>
              </w:rPr>
              <w:t>$3,000,000</w:t>
            </w:r>
          </w:p>
        </w:tc>
        <w:tc>
          <w:tcPr>
            <w:tcW w:w="1350" w:type="dxa"/>
            <w:tcBorders/>
          </w:tcPr>
          <w:p>
            <w:pPr>
              <w:pStyle w:val="Normal"/>
              <w:rPr>
                <w:rFonts w:ascii="Arial Narrow" w:hAnsi="Arial Narrow" w:cs="Arial Narrow"/>
                <w:sz w:val="18"/>
              </w:rPr>
            </w:pPr>
            <w:r>
              <w:rPr>
                <w:rFonts w:cs="Arial Narrow" w:ascii="Arial Narrow" w:hAnsi="Arial Narrow"/>
                <w:sz w:val="18"/>
              </w:rPr>
              <w:t>$6,500,000</w:t>
            </w:r>
          </w:p>
        </w:tc>
      </w:tr>
      <w:tr>
        <w:trPr/>
        <w:tc>
          <w:tcPr>
            <w:tcW w:w="1350" w:type="dxa"/>
            <w:tcBorders/>
          </w:tcPr>
          <w:p>
            <w:pPr>
              <w:pStyle w:val="Normal"/>
              <w:rPr>
                <w:rFonts w:ascii="Arial Narrow" w:hAnsi="Arial Narrow" w:cs="Arial Narrow"/>
                <w:sz w:val="18"/>
              </w:rPr>
            </w:pPr>
            <w:r>
              <w:rPr>
                <w:rFonts w:cs="Arial Narrow" w:ascii="Arial Narrow" w:hAnsi="Arial Narrow"/>
                <w:sz w:val="18"/>
              </w:rPr>
              <w:t>BBB</w:t>
            </w:r>
          </w:p>
        </w:tc>
        <w:tc>
          <w:tcPr>
            <w:tcW w:w="1350" w:type="dxa"/>
            <w:tcBorders/>
          </w:tcPr>
          <w:p>
            <w:pPr>
              <w:pStyle w:val="Normal"/>
              <w:rPr>
                <w:rFonts w:ascii="Arial Narrow" w:hAnsi="Arial Narrow" w:cs="Arial Narrow"/>
                <w:sz w:val="18"/>
              </w:rPr>
            </w:pPr>
            <w:r>
              <w:rPr>
                <w:rFonts w:cs="Arial Narrow" w:ascii="Arial Narrow" w:hAnsi="Arial Narrow"/>
                <w:sz w:val="18"/>
              </w:rPr>
              <w:t>Baa2</w:t>
            </w:r>
          </w:p>
        </w:tc>
        <w:tc>
          <w:tcPr>
            <w:tcW w:w="1350" w:type="dxa"/>
            <w:tcBorders/>
          </w:tcPr>
          <w:p>
            <w:pPr>
              <w:pStyle w:val="Normal"/>
              <w:rPr>
                <w:rFonts w:ascii="Arial Narrow" w:hAnsi="Arial Narrow" w:cs="Arial Narrow"/>
                <w:sz w:val="18"/>
              </w:rPr>
            </w:pPr>
            <w:r>
              <w:rPr>
                <w:rFonts w:cs="Arial Narrow" w:ascii="Arial Narrow" w:hAnsi="Arial Narrow"/>
                <w:sz w:val="18"/>
              </w:rPr>
              <w:t>$1,750,000</w:t>
            </w:r>
          </w:p>
        </w:tc>
        <w:tc>
          <w:tcPr>
            <w:tcW w:w="1350" w:type="dxa"/>
            <w:tcBorders/>
          </w:tcPr>
          <w:p>
            <w:pPr>
              <w:pStyle w:val="Normal"/>
              <w:rPr>
                <w:rFonts w:ascii="Arial Narrow" w:hAnsi="Arial Narrow" w:cs="Arial Narrow"/>
                <w:sz w:val="18"/>
              </w:rPr>
            </w:pPr>
            <w:r>
              <w:rPr>
                <w:rFonts w:cs="Arial Narrow" w:ascii="Arial Narrow" w:hAnsi="Arial Narrow"/>
                <w:sz w:val="18"/>
              </w:rPr>
              <w:t>$4,000,000</w:t>
            </w:r>
          </w:p>
        </w:tc>
      </w:tr>
      <w:tr>
        <w:trPr/>
        <w:tc>
          <w:tcPr>
            <w:tcW w:w="1350" w:type="dxa"/>
            <w:tcBorders/>
          </w:tcPr>
          <w:p>
            <w:pPr>
              <w:pStyle w:val="Normal"/>
              <w:rPr>
                <w:rFonts w:ascii="Arial Narrow" w:hAnsi="Arial Narrow" w:cs="Arial Narrow"/>
                <w:sz w:val="18"/>
              </w:rPr>
            </w:pPr>
            <w:r>
              <w:rPr>
                <w:rFonts w:cs="Arial Narrow" w:ascii="Arial Narrow" w:hAnsi="Arial Narrow"/>
                <w:sz w:val="18"/>
              </w:rPr>
              <w:t>BBB-</w:t>
            </w:r>
          </w:p>
        </w:tc>
        <w:tc>
          <w:tcPr>
            <w:tcW w:w="1350" w:type="dxa"/>
            <w:tcBorders/>
          </w:tcPr>
          <w:p>
            <w:pPr>
              <w:pStyle w:val="Normal"/>
              <w:rPr>
                <w:rFonts w:ascii="Arial Narrow" w:hAnsi="Arial Narrow" w:cs="Arial Narrow"/>
                <w:sz w:val="18"/>
              </w:rPr>
            </w:pPr>
            <w:r>
              <w:rPr>
                <w:rFonts w:cs="Arial Narrow" w:ascii="Arial Narrow" w:hAnsi="Arial Narrow"/>
                <w:sz w:val="18"/>
              </w:rPr>
              <w:t>Baa3</w:t>
            </w:r>
          </w:p>
        </w:tc>
        <w:tc>
          <w:tcPr>
            <w:tcW w:w="1350" w:type="dxa"/>
            <w:tcBorders/>
          </w:tcPr>
          <w:p>
            <w:pPr>
              <w:pStyle w:val="Normal"/>
              <w:rPr>
                <w:rFonts w:ascii="Arial Narrow" w:hAnsi="Arial Narrow" w:cs="Arial Narrow"/>
                <w:sz w:val="18"/>
              </w:rPr>
            </w:pPr>
            <w:r>
              <w:rPr>
                <w:rFonts w:cs="Arial Narrow" w:ascii="Arial Narrow" w:hAnsi="Arial Narrow"/>
                <w:sz w:val="18"/>
              </w:rPr>
              <w:t>$1,500,000</w:t>
            </w:r>
          </w:p>
        </w:tc>
        <w:tc>
          <w:tcPr>
            <w:tcW w:w="1350" w:type="dxa"/>
            <w:tcBorders/>
          </w:tcPr>
          <w:p>
            <w:pPr>
              <w:pStyle w:val="Normal"/>
              <w:rPr>
                <w:rFonts w:ascii="Arial Narrow" w:hAnsi="Arial Narrow" w:cs="Arial Narrow"/>
                <w:sz w:val="18"/>
              </w:rPr>
            </w:pPr>
            <w:r>
              <w:rPr>
                <w:rFonts w:cs="Arial Narrow" w:ascii="Arial Narrow" w:hAnsi="Arial Narrow"/>
                <w:sz w:val="18"/>
              </w:rPr>
              <w:t>$3,000,000</w:t>
            </w:r>
          </w:p>
        </w:tc>
      </w:tr>
      <w:tr>
        <w:trPr/>
        <w:tc>
          <w:tcPr>
            <w:tcW w:w="1350" w:type="dxa"/>
            <w:tcBorders/>
          </w:tcPr>
          <w:p>
            <w:pPr>
              <w:pStyle w:val="Normal"/>
              <w:rPr>
                <w:rFonts w:ascii="Arial Narrow" w:hAnsi="Arial Narrow" w:cs="Arial Narrow"/>
                <w:sz w:val="18"/>
              </w:rPr>
            </w:pPr>
            <w:r>
              <w:rPr>
                <w:rFonts w:cs="Arial Narrow" w:ascii="Arial Narrow" w:hAnsi="Arial Narrow"/>
                <w:sz w:val="18"/>
              </w:rPr>
              <w:t>&lt;BBB-</w:t>
            </w:r>
          </w:p>
        </w:tc>
        <w:tc>
          <w:tcPr>
            <w:tcW w:w="1350" w:type="dxa"/>
            <w:tcBorders/>
          </w:tcPr>
          <w:p>
            <w:pPr>
              <w:pStyle w:val="Normal"/>
              <w:rPr>
                <w:rFonts w:ascii="Arial Narrow" w:hAnsi="Arial Narrow" w:cs="Arial Narrow"/>
                <w:sz w:val="18"/>
              </w:rPr>
            </w:pPr>
            <w:r>
              <w:rPr>
                <w:rFonts w:cs="Arial Narrow" w:ascii="Arial Narrow" w:hAnsi="Arial Narrow"/>
                <w:sz w:val="18"/>
              </w:rPr>
              <w:t>&lt;Baa3</w:t>
            </w:r>
          </w:p>
        </w:tc>
        <w:tc>
          <w:tcPr>
            <w:tcW w:w="1350" w:type="dxa"/>
            <w:tcBorders/>
          </w:tcPr>
          <w:p>
            <w:pPr>
              <w:pStyle w:val="Normal"/>
              <w:rPr>
                <w:rFonts w:ascii="Arial Narrow" w:hAnsi="Arial Narrow" w:cs="Arial Narrow"/>
                <w:sz w:val="18"/>
              </w:rPr>
            </w:pPr>
            <w:r>
              <w:rPr>
                <w:rFonts w:cs="Arial Narrow" w:ascii="Arial Narrow" w:hAnsi="Arial Narrow"/>
                <w:sz w:val="18"/>
              </w:rPr>
              <w:t>$         0.00</w:t>
            </w:r>
          </w:p>
        </w:tc>
        <w:tc>
          <w:tcPr>
            <w:tcW w:w="1350" w:type="dxa"/>
            <w:tcBorders/>
          </w:tcPr>
          <w:p>
            <w:pPr>
              <w:pStyle w:val="Normal"/>
              <w:rPr>
                <w:rFonts w:ascii="Arial Narrow" w:hAnsi="Arial Narrow" w:cs="Arial Narrow"/>
                <w:sz w:val="18"/>
              </w:rPr>
            </w:pPr>
            <w:r>
              <w:rPr>
                <w:rFonts w:cs="Arial Narrow" w:ascii="Arial Narrow" w:hAnsi="Arial Narrow"/>
                <w:sz w:val="18"/>
              </w:rPr>
              <w:t>$         0.00</w:t>
            </w:r>
          </w:p>
        </w:tc>
      </w:tr>
    </w:tbl>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60-Day period or any part thereof.  The Parties expressly agree that upon the expiration of the 60-Day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SELECT  ENERGY,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/mnt/main-storage/datasets/enron-docs/doc/Select_Energy-e84f3f2fa6243f59d027e22bb8e25bf6f8fed55d1ff9dc64e9fc4af3ca655520.doc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Northeast Utilities.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senior unsecured long-term debt unsupported by third party credit enhancement that is rated by Standard &amp; Poor's below BBB- or Moody’s below Baa3, or (ii) with respect to Company, Enron Corp. shall have long-term debt unsupported by third party credit enhancement that is rated by Standard &amp; Poor's below BBB- or Moody’s Baa3.</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Select Energy, Inc.</w:t>
      </w:r>
    </w:p>
    <w:p>
      <w:pPr>
        <w:pStyle w:val="Normal"/>
        <w:jc w:val="both"/>
        <w:rPr>
          <w:rFonts w:ascii="Arial Narrow" w:hAnsi="Arial Narrow" w:cs="Arial Narrow"/>
          <w:sz w:val="18"/>
        </w:rPr>
      </w:pPr>
      <w:r>
        <w:rPr>
          <w:rFonts w:cs="Arial Narrow" w:ascii="Arial Narrow" w:hAnsi="Arial Narrow"/>
          <w:sz w:val="18"/>
        </w:rPr>
        <w:t>107 Selden Street</w:t>
      </w:r>
    </w:p>
    <w:p>
      <w:pPr>
        <w:pStyle w:val="Normal"/>
        <w:jc w:val="both"/>
        <w:rPr>
          <w:rFonts w:ascii="Arial Narrow" w:hAnsi="Arial Narrow" w:cs="Arial Narrow"/>
          <w:sz w:val="18"/>
        </w:rPr>
      </w:pPr>
      <w:r>
        <w:rPr>
          <w:rFonts w:cs="Arial Narrow" w:ascii="Arial Narrow" w:hAnsi="Arial Narrow"/>
          <w:sz w:val="18"/>
        </w:rPr>
        <w:t>Berlin, CT  06037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2001-07-30T12:08:00Z</dcterms:created>
  <dc:creator>dperlin</dc:creator>
  <dc:description/>
  <dc:language>en-CA</dc:language>
  <cp:lastModifiedBy>dperlin</cp:lastModifiedBy>
  <cp:lastPrinted>2001-07-30T11:48:00Z</cp:lastPrinted>
  <dcterms:modified xsi:type="dcterms:W3CDTF">2001-07-30T17:10:00Z</dcterms:modified>
  <cp:revision>5</cp:revision>
  <dc:subject/>
  <dc:title>ENFOLIO® MASTER FIRM PURCHASE/SALE AGREEMENT</dc:title>
</cp:coreProperties>
</file>