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SECURITY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This Security Agreement (“Agreement”) is made and entered into by the undersigned buyer, guarantor and/or other obligor/pledgor (“Buyer”) in favor of the undersigned seller (“Seller”), as of the date set forth on the last page of this Agreement.</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1.  Security Interest</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1.1  Grant of Security Interest.</w:t>
      </w:r>
      <w:r>
        <w:rPr>
          <w:rFonts w:cs="Arial" w:ascii="Arial" w:hAnsi="Arial"/>
          <w:sz w:val="22"/>
        </w:rPr>
        <w:t xml:space="preserve">  Buyer hereby grants a [first priority] present and continuing security interest in and lien on (and right of set off against) and collaterally assigns the Collateral (defined below) to Seller to secure all of Buyer’s Obligations (defined below) to Seller.  The intent of the parties hereto is that the Collateral secures all Obligations of Buyer to Seller.</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1.2  “Collateral”</w:t>
      </w:r>
      <w:r>
        <w:rPr>
          <w:rFonts w:cs="Arial" w:ascii="Arial" w:hAnsi="Arial"/>
          <w:sz w:val="22"/>
        </w:rPr>
        <w:t xml:space="preserve"> means all of:</w:t>
      </w:r>
    </w:p>
    <w:p>
      <w:pPr>
        <w:pStyle w:val="Normal"/>
        <w:rPr>
          <w:rFonts w:ascii="Arial" w:hAnsi="Arial" w:cs="Arial"/>
          <w:sz w:val="22"/>
        </w:rPr>
      </w:pPr>
      <w:r>
        <w:rPr>
          <w:rFonts w:cs="Arial" w:ascii="Arial" w:hAnsi="Arial"/>
          <w:sz w:val="22"/>
        </w:rPr>
      </w:r>
    </w:p>
    <w:p>
      <w:pPr>
        <w:pStyle w:val="BodyTextIndent"/>
        <w:rPr/>
      </w:pPr>
      <w:r>
        <w:rPr/>
        <w:t>The items described on Schedule “A” to this Agreement as it may be revised pursuant to Section 1.4.</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1.3  “Obligations”</w:t>
      </w:r>
      <w:r>
        <w:rPr>
          <w:rFonts w:cs="Arial" w:ascii="Arial" w:hAnsi="Arial"/>
          <w:sz w:val="22"/>
        </w:rPr>
        <w:t xml:space="preserve"> means all of Buyer’s debts, liabilities, obligations, covenants, warranties, and duties to Seller under (check all that apply):</w:t>
      </w:r>
    </w:p>
    <w:p>
      <w:pPr>
        <w:pStyle w:val="Normal"/>
        <w:rPr>
          <w:rFonts w:ascii="Arial" w:hAnsi="Arial" w:cs="Arial"/>
          <w:sz w:val="22"/>
        </w:rPr>
      </w:pPr>
      <w:r>
        <w:rPr>
          <w:rFonts w:cs="Arial" w:ascii="Arial" w:hAnsi="Arial"/>
          <w:sz w:val="22"/>
        </w:rPr>
      </w:r>
    </w:p>
    <w:p>
      <w:pPr>
        <w:pStyle w:val="BodyTextIndent"/>
        <w:rPr/>
      </w:pPr>
      <w:r>
        <w:rPr/>
        <w:t>__</w:t>
        <w:tab/>
        <w:t>All transactions between Buyer and Seller under the WSPP Agreement</w:t>
      </w:r>
    </w:p>
    <w:p>
      <w:pPr>
        <w:pStyle w:val="BodyText"/>
        <w:spacing w:before="0" w:after="0"/>
        <w:ind w:firstLine="720" w:end="0"/>
        <w:rPr>
          <w:rFonts w:ascii="Arial" w:hAnsi="Arial" w:cs="Arial"/>
          <w:sz w:val="22"/>
        </w:rPr>
      </w:pPr>
      <w:r>
        <w:rPr>
          <w:rFonts w:cs="Arial" w:ascii="Arial" w:hAnsi="Arial"/>
          <w:sz w:val="22"/>
        </w:rPr>
        <w:t>__</w:t>
        <w:tab/>
        <w:t>Contracts specified on Schedule “B”</w:t>
      </w:r>
    </w:p>
    <w:p>
      <w:pPr>
        <w:pStyle w:val="BodyText"/>
        <w:spacing w:before="0" w:after="0"/>
        <w:ind w:firstLine="720" w:end="0"/>
        <w:rPr>
          <w:rFonts w:ascii="Arial" w:hAnsi="Arial" w:cs="Arial"/>
          <w:sz w:val="22"/>
        </w:rPr>
      </w:pPr>
      <w:r>
        <w:rPr>
          <w:rFonts w:cs="Arial" w:ascii="Arial" w:hAnsi="Arial"/>
          <w:sz w:val="22"/>
        </w:rPr>
      </w:r>
    </w:p>
    <w:p>
      <w:pPr>
        <w:pStyle w:val="BodyText"/>
        <w:spacing w:before="0" w:after="0"/>
        <w:rPr>
          <w:rFonts w:ascii="Arial" w:hAnsi="Arial" w:cs="Arial"/>
          <w:sz w:val="22"/>
        </w:rPr>
      </w:pPr>
      <w:r>
        <w:rPr>
          <w:rFonts w:cs="Arial" w:ascii="Arial" w:hAnsi="Arial"/>
          <w:sz w:val="22"/>
        </w:rPr>
        <w:t>Upon mutual agreement, the Seller and Buyer may modify the designation of contracts specified in Section 1.3 and Schedule “B”.</w:t>
      </w:r>
    </w:p>
    <w:p>
      <w:pPr>
        <w:pStyle w:val="BodyText"/>
        <w:rPr>
          <w:rFonts w:ascii="Arial" w:hAnsi="Arial" w:cs="Arial"/>
          <w:sz w:val="22"/>
        </w:rPr>
      </w:pPr>
      <w:r>
        <w:rPr>
          <w:rFonts w:cs="Arial" w:ascii="Arial" w:hAnsi="Arial"/>
          <w:sz w:val="22"/>
        </w:rPr>
      </w:r>
    </w:p>
    <w:p>
      <w:pPr>
        <w:pStyle w:val="BodyText"/>
        <w:spacing w:before="0" w:after="0"/>
        <w:rPr/>
      </w:pPr>
      <w:r>
        <w:rPr>
          <w:rFonts w:cs="Arial" w:ascii="Arial" w:hAnsi="Arial"/>
          <w:b/>
          <w:sz w:val="22"/>
        </w:rPr>
        <w:t>1.4  Revisions to Collateral.</w:t>
      </w:r>
      <w:r>
        <w:rPr>
          <w:rFonts w:cs="Arial" w:ascii="Arial" w:hAnsi="Arial"/>
          <w:sz w:val="22"/>
        </w:rPr>
        <w:t xml:space="preserve">  If Seller determines in its reasonably exercised discretion that the level of Collateral is insufficient to secure all of Buyer’s obligations, net of monies due Buyer from Seller, then Seller may demand that Buyer provide additional Collateral satisfactory to Seller, provided that Seller’s demand must reasonably relate to the level of collateral necessary to secure Buyer’s obligations.  Buyer shall provide such additional Collateral within ___ days after receiving written notice from Seller.  In the event that Buyer disputes the reasonableness of Seller’s request for additional Collateral and the parties do not agree to an alternative amount, Buyer’s sole remedy is termination under Article 5.</w:t>
      </w:r>
    </w:p>
    <w:p>
      <w:pPr>
        <w:pStyle w:val="BodyText"/>
        <w:rPr>
          <w:rFonts w:ascii="Arial" w:hAnsi="Arial" w:cs="Arial"/>
          <w:sz w:val="22"/>
        </w:rPr>
      </w:pPr>
      <w:r>
        <w:rPr>
          <w:rFonts w:cs="Arial" w:ascii="Arial" w:hAnsi="Arial"/>
          <w:sz w:val="22"/>
        </w:rPr>
      </w:r>
    </w:p>
    <w:p>
      <w:pPr>
        <w:pStyle w:val="BodyText"/>
        <w:spacing w:before="0" w:after="0"/>
        <w:jc w:val="center"/>
        <w:rPr>
          <w:rFonts w:ascii="Arial" w:hAnsi="Arial" w:cs="Arial"/>
          <w:b/>
          <w:sz w:val="22"/>
        </w:rPr>
      </w:pPr>
      <w:r>
        <w:rPr>
          <w:rFonts w:cs="Arial" w:ascii="Arial" w:hAnsi="Arial"/>
          <w:b/>
          <w:sz w:val="22"/>
        </w:rPr>
        <w:t>Article 2.  Warranties and Covenants</w:t>
      </w:r>
    </w:p>
    <w:p>
      <w:pPr>
        <w:pStyle w:val="BodyText"/>
        <w:rPr>
          <w:rFonts w:ascii="Arial" w:hAnsi="Arial" w:cs="Arial"/>
          <w:b/>
          <w:sz w:val="22"/>
        </w:rPr>
      </w:pPr>
      <w:r>
        <w:rPr>
          <w:rFonts w:cs="Arial" w:ascii="Arial" w:hAnsi="Arial"/>
          <w:b/>
          <w:sz w:val="22"/>
        </w:rPr>
      </w:r>
    </w:p>
    <w:p>
      <w:pPr>
        <w:pStyle w:val="BodyText"/>
        <w:rPr/>
      </w:pPr>
      <w:r>
        <w:rPr>
          <w:rFonts w:cs="Arial" w:ascii="Arial" w:hAnsi="Arial"/>
          <w:b/>
          <w:sz w:val="22"/>
        </w:rPr>
        <w:t>2.1  Organization; Name; Address.</w:t>
      </w:r>
      <w:r>
        <w:rPr>
          <w:rFonts w:cs="Arial" w:ascii="Arial" w:hAnsi="Arial"/>
          <w:sz w:val="22"/>
        </w:rPr>
        <w:t xml:space="preserve">  Buyer’s address stated below is the address of Buyer’s principal place of business; and all Collateral shall be located at such address or other address(es) as follows: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Additional addresses, if any:</w:t>
        <w:tab/>
        <w:t>__________________________________</w:t>
      </w:r>
    </w:p>
    <w:p>
      <w:pPr>
        <w:pStyle w:val="Normal"/>
        <w:rPr>
          <w:rFonts w:ascii="Arial" w:hAnsi="Arial" w:cs="Arial"/>
          <w:sz w:val="22"/>
        </w:rPr>
      </w:pPr>
      <w:r>
        <w:rPr>
          <w:rFonts w:cs="Arial" w:ascii="Arial" w:hAnsi="Arial"/>
          <w:sz w:val="22"/>
        </w:rPr>
        <w:tab/>
        <w:tab/>
        <w:tab/>
        <w:tab/>
        <w:t>__________________________________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Nothing in this Section shall limit Seller’s rights to Collateral wherever located.</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2.2  Ownership; Maintenance of Collateral and Dispositions.</w:t>
      </w:r>
      <w:r>
        <w:rPr>
          <w:rFonts w:cs="Arial" w:ascii="Arial" w:hAnsi="Arial"/>
          <w:sz w:val="22"/>
        </w:rPr>
        <w:t xml:space="preserve">  Buyer is the sole owner of the Collateral free of all liens, claims, other encumbrances and security interests except as stated in Schedule “C” or otherwise permitted in writing.  Buyer shall (i) maintain the Collateral in good condition and repair (reasonable wear and tear excepted), and not permit its value to be impaired; (ii) not permit waste, removal or loss of identity of the Collateral; (iii) keep the Collateral free from all liens, executions, attachments, claims, encumbrances and security interests (other than Seller’s paramount security interest and those Seller may permit in writing); (iv) defend the Collateral against all claims and legal proceedings by persons other than Seller; (v) pay and discharge when due all taxes levies and other charges or fees upon the Collateral except for payment of taxes contested by Buyer in good faith by appropriate proceedings so long as no levy or lien has been imposed upon the Collateral; (vi) not lease, sell or transfer the Collateral to any party nor move it to any new location outside of the ordinary course of business; (vii) not permit the Collateral, without consent of Seller, to become a fixture or an accession to other goods; (viii) not permit the Collateral to be used in violation of any applicable law, regulation, or policy of insurance; (ix) as to Collateral consisting of instruments and chattel paper and cash, preserve Seller’s rights in it against all other parties.  Notwithstanding the above, so long as Buyer is not in default in any of the Obligations, Buyer may sell, lease or transfer inventory in the ordinary course of its business.</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3.  Other Agreements of Buyer</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3.1  Certificates and Statements.</w:t>
      </w:r>
      <w:r>
        <w:rPr>
          <w:rFonts w:cs="Arial" w:ascii="Arial" w:hAnsi="Arial"/>
          <w:sz w:val="22"/>
        </w:rPr>
        <w:t xml:space="preserve">  At the time of each new sale, and at such intervals and in such form as Seller may reasonably request, Buyer shall submit to Seller a certified statement of the Collateral showing Collateral then existing if the Collateral changed from that previously disclosed.</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3.2  Endorsements.</w:t>
      </w:r>
      <w:r>
        <w:rPr>
          <w:rFonts w:cs="Arial" w:ascii="Arial" w:hAnsi="Arial"/>
          <w:sz w:val="22"/>
        </w:rPr>
        <w:t xml:space="preserve">  If any proceeds to Buyer shall include, or any of the accounts shall be evidenced by, notes, trade acceptances or instruments or documents, or if any inventory is covered by documents of title or chattel paper, whether or not negotiable, Borrower, if requested by the Bank, immediately shall deliver them to the Bank appropriately endorsed.  Regardless of the form of the endorsement, Buyer waives protest.  If Buyer fails to endorse any instrument or document, Seller is authorized to endorse it on Buyer’s behalf.</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3.3  Maintenance of Records; Reports.</w:t>
      </w:r>
      <w:r>
        <w:rPr>
          <w:rFonts w:cs="Arial" w:ascii="Arial" w:hAnsi="Arial"/>
          <w:sz w:val="22"/>
        </w:rPr>
        <w:t xml:space="preserve">  Buyer at all times shall keep accurate and complete records of the Collateral and its status.</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3.4  Right of Seller to Inspect.</w:t>
      </w:r>
      <w:r>
        <w:rPr>
          <w:rFonts w:cs="Arial" w:ascii="Arial" w:hAnsi="Arial"/>
          <w:sz w:val="22"/>
        </w:rPr>
        <w:t xml:space="preserve">  Seller or its designated agent shall have the right, upon reasonable notice to inspect Buyer’s place or places of business or any other place where the Collateral may be located, at intervals determined by Seller, to inspect the Collateral and inspect, audit and copy any books and records of Buyer related to the Collateral or other transactions with Seller.</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3.5  Financing Statements and Other Documentation.</w:t>
      </w:r>
      <w:r>
        <w:rPr>
          <w:rFonts w:cs="Arial" w:ascii="Arial" w:hAnsi="Arial"/>
          <w:sz w:val="22"/>
        </w:rPr>
        <w:t xml:space="preserve">  Buyer, at any time, upon request of Seller, shall join with Seller in executing any financing statements and will do, make, execute and deliver all such other additional and further acts, instruments or papers as Seller may require to assure Seller of its rights hereunder and to the Collateral and its proceeds.</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3.6.  Other Borrowing.</w:t>
      </w:r>
      <w:r>
        <w:rPr>
          <w:rFonts w:cs="Arial" w:ascii="Arial" w:hAnsi="Arial"/>
          <w:sz w:val="22"/>
        </w:rPr>
        <w:t xml:space="preserve">  Without the written consent of Seller, Buyer will not engage in any financing covering Collateral or its proceeds.</w:t>
      </w:r>
    </w:p>
    <w:p>
      <w:pPr>
        <w:pStyle w:val="Normal"/>
        <w:rPr>
          <w:rFonts w:ascii="Arial" w:hAnsi="Arial" w:cs="Arial"/>
          <w:sz w:val="22"/>
        </w:rPr>
      </w:pPr>
      <w:r>
        <w:rPr>
          <w:rFonts w:cs="Arial" w:ascii="Arial" w:hAnsi="Arial"/>
          <w:sz w:val="22"/>
        </w:rPr>
      </w:r>
    </w:p>
    <w:p>
      <w:pPr>
        <w:pStyle w:val="Normal"/>
        <w:keepNext w:val="true"/>
        <w:widowControl w:val="false"/>
        <w:jc w:val="center"/>
        <w:rPr>
          <w:rFonts w:ascii="Arial" w:hAnsi="Arial" w:cs="Arial"/>
          <w:b/>
          <w:sz w:val="22"/>
        </w:rPr>
      </w:pPr>
      <w:r>
        <w:rPr>
          <w:rFonts w:cs="Arial" w:ascii="Arial" w:hAnsi="Arial"/>
          <w:b/>
          <w:sz w:val="22"/>
        </w:rPr>
        <w:t>Article 4.  Default</w:t>
      </w:r>
    </w:p>
    <w:p>
      <w:pPr>
        <w:pStyle w:val="Normal"/>
        <w:keepNext w:val="true"/>
        <w:widowControl w:val="false"/>
        <w:rPr>
          <w:rFonts w:ascii="Arial" w:hAnsi="Arial" w:cs="Arial"/>
          <w:b/>
          <w:sz w:val="22"/>
        </w:rPr>
      </w:pPr>
      <w:r>
        <w:rPr>
          <w:rFonts w:cs="Arial" w:ascii="Arial" w:hAnsi="Arial"/>
          <w:b/>
          <w:sz w:val="22"/>
        </w:rPr>
      </w:r>
    </w:p>
    <w:p>
      <w:pPr>
        <w:pStyle w:val="Normal"/>
        <w:rPr/>
      </w:pPr>
      <w:r>
        <w:rPr>
          <w:rFonts w:cs="Arial" w:ascii="Arial" w:hAnsi="Arial"/>
          <w:b/>
          <w:sz w:val="22"/>
        </w:rPr>
        <w:t>4.1  Events of Default.</w:t>
      </w:r>
      <w:r>
        <w:rPr>
          <w:rFonts w:cs="Arial" w:ascii="Arial" w:hAnsi="Arial"/>
          <w:sz w:val="22"/>
        </w:rPr>
        <w:t xml:space="preserve">  Buyer shall be in default under this Agreement and all amounts outstanding shall become immediately due and payable at any time Seller reasonably deems itself insecure and in all events upon the occurrence of any of the following: (i) Buyer is in default under any of the contracts specified in Section 1.4 and Schedule “B”; (ii) failure by Buyer to keep, observe or perform any provision of this Agreement; or (iii) misrepresentation, breach of warranty, or material falsity of any certificate, schedule or statement made or furnished by Buyer to Seller in connection with this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4.2  Remedies.</w:t>
      </w:r>
      <w:r>
        <w:rPr>
          <w:rFonts w:cs="Arial" w:ascii="Arial" w:hAnsi="Arial"/>
          <w:sz w:val="22"/>
        </w:rPr>
        <w:t xml:space="preserve">  Upon the occurrence of any event of default, Seller may declare all Obligations immediately due and payable, and may require Buyer to assemble the Collateral and make it available at a designated reasonably convenient place.  Seller may pursue all remedies available in law or equity and nothing in this Agreement shall be construed to prejudice Seller’s rights to obtain any remedy.  </w:t>
      </w:r>
      <w:r>
        <w:rPr>
          <w:rFonts w:cs="Arial" w:ascii="Arial" w:hAnsi="Arial"/>
          <w:b/>
          <w:sz w:val="22"/>
        </w:rPr>
        <w:t>[Does this provision need to be more specific?]</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5.  Termination</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5.1</w:t>
      </w:r>
      <w:r>
        <w:rPr>
          <w:rFonts w:cs="Arial" w:ascii="Arial" w:hAnsi="Arial"/>
          <w:sz w:val="22"/>
        </w:rPr>
        <w:t xml:space="preserve">  Upon ___ days notice, either Seller or Buyer may terminate this Agreement, provided, however, the Collateral, security interests, and liens shall not be released until Seller has fully paid for all transactions covered by this Agreement that were agreed to prior to the termination date.</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6.  Dispute Resolution</w:t>
      </w:r>
    </w:p>
    <w:p>
      <w:pPr>
        <w:pStyle w:val="Normal"/>
        <w:jc w:val="center"/>
        <w:rPr>
          <w:rFonts w:ascii="Arial" w:hAnsi="Arial" w:cs="Arial"/>
          <w:b/>
          <w:sz w:val="22"/>
        </w:rPr>
      </w:pPr>
      <w:r>
        <w:rPr>
          <w:rFonts w:cs="Arial" w:ascii="Arial" w:hAnsi="Arial"/>
          <w:b/>
          <w:sz w:val="22"/>
        </w:rPr>
      </w:r>
    </w:p>
    <w:p>
      <w:pPr>
        <w:pStyle w:val="Normal"/>
        <w:rPr/>
      </w:pPr>
      <w:r>
        <w:rPr>
          <w:rFonts w:cs="Arial" w:ascii="Arial" w:hAnsi="Arial"/>
          <w:b/>
          <w:sz w:val="22"/>
        </w:rPr>
        <w:t xml:space="preserve">6.1  </w:t>
      </w:r>
      <w:r>
        <w:rPr>
          <w:rFonts w:cs="Arial" w:ascii="Arial" w:hAnsi="Arial"/>
          <w:sz w:val="22"/>
        </w:rPr>
        <w:t>Any disputes under this Agreement shall be resolved pursuant to the dispute resolution procedures of the WSPP Agreement.</w:t>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7.  Additional Provisions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7.1  Waivers.</w:t>
      </w:r>
      <w:r>
        <w:rPr>
          <w:rFonts w:cs="Arial" w:ascii="Arial" w:hAnsi="Arial"/>
          <w:sz w:val="22"/>
        </w:rPr>
        <w:t xml:space="preserve">  Buyer waives demand, notice or protest of any instruments either of Buyer or others which may be included in the Collateral.</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7.2  Duties Respecting Collateral.</w:t>
      </w:r>
      <w:r>
        <w:rPr>
          <w:rFonts w:cs="Arial" w:ascii="Arial" w:hAnsi="Arial"/>
          <w:sz w:val="22"/>
        </w:rPr>
        <w:t xml:space="preserve">  Seller shall have no duty to collect or protect Collateral or any proceeds; to preserve rights of Buyer, to realize on the Collateral in any particular manner, or to preserve, protect, insure or care for inventory comprising Collateral.</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7.3  Non-waiver by Seller.</w:t>
      </w:r>
      <w:r>
        <w:rPr>
          <w:rFonts w:cs="Arial" w:ascii="Arial" w:hAnsi="Arial"/>
          <w:sz w:val="22"/>
        </w:rPr>
        <w:t xml:space="preserve">  Seller shall not be deemed to have waived any of its rights under this or any other Agreement or instrument signed by Buyer unless the waiver is in writing signed by Seller.  No delay in exercising its rights shall be a waiver nor shall a waiver on one occasion operate as a waiver of such right on a future occasion.</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7.4  Notices.</w:t>
      </w:r>
      <w:r>
        <w:rPr>
          <w:rFonts w:cs="Arial" w:ascii="Arial" w:hAnsi="Arial"/>
          <w:sz w:val="22"/>
        </w:rPr>
        <w:t xml:space="preserve">  Each demand, notice or other communication shall be served or given by mail, recognized overnight courier service, or telefacsimile, addressed to the party at its address set forth in this Agreement or as changed by written notice to the other party.  Reasonable notice, when notice is required, and unless otherwise provided herein, shall be five (5) days.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7.5  Law Governing.</w:t>
      </w:r>
      <w:r>
        <w:rPr>
          <w:rFonts w:cs="Arial" w:ascii="Arial" w:hAnsi="Arial"/>
          <w:sz w:val="22"/>
        </w:rPr>
        <w:t xml:space="preserve">  All the terms herein and the rights, duties and remedies of the parties shall be governed by the law of _________________________.</w:t>
      </w:r>
      <w:r>
        <w:br w:type="page"/>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Executed and dated as of the ______ day of ________, 20___.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SELLER</w:t>
        <w:tab/>
        <w:tab/>
        <w:tab/>
        <w:tab/>
        <w:tab/>
        <w:tab/>
        <w:t>BUYER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________________________________</w:t>
        <w:tab/>
        <w:tab/>
        <w:t>_______________________________</w:t>
      </w:r>
    </w:p>
    <w:p>
      <w:pPr>
        <w:pStyle w:val="Normal"/>
        <w:rPr>
          <w:rFonts w:ascii="Arial" w:hAnsi="Arial" w:cs="Arial"/>
          <w:sz w:val="22"/>
        </w:rPr>
      </w:pPr>
      <w:r>
        <w:rPr>
          <w:rFonts w:cs="Arial" w:ascii="Arial" w:hAnsi="Arial"/>
          <w:sz w:val="22"/>
        </w:rPr>
        <w:t>Name of Seller</w:t>
        <w:tab/>
        <w:tab/>
        <w:tab/>
        <w:tab/>
        <w:tab/>
        <w:t>Name of Buyer</w:t>
      </w:r>
    </w:p>
    <w:p>
      <w:pPr>
        <w:pStyle w:val="Normal"/>
        <w:rPr>
          <w:rFonts w:ascii="Arial" w:hAnsi="Arial" w:cs="Arial"/>
          <w:sz w:val="22"/>
        </w:rPr>
      </w:pPr>
      <w:r>
        <w:rPr>
          <w:rFonts w:cs="Arial" w:ascii="Arial" w:hAnsi="Arial"/>
          <w:sz w:val="22"/>
        </w:rPr>
        <w:t>By:</w:t>
        <w:tab/>
        <w:tab/>
        <w:tab/>
        <w:tab/>
        <w:tab/>
        <w:tab/>
        <w:tab/>
        <w:t>By: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________________________________</w:t>
        <w:tab/>
        <w:tab/>
        <w:t>_______________________________</w:t>
      </w:r>
    </w:p>
    <w:p>
      <w:pPr>
        <w:pStyle w:val="Normal"/>
        <w:rPr>
          <w:rFonts w:ascii="Arial" w:hAnsi="Arial" w:cs="Arial"/>
          <w:sz w:val="22"/>
        </w:rPr>
      </w:pPr>
      <w:r>
        <w:rPr>
          <w:rFonts w:cs="Arial" w:ascii="Arial" w:hAnsi="Arial"/>
          <w:sz w:val="22"/>
        </w:rPr>
        <w:t>Authorized Officer, Manager or Agent</w:t>
        <w:tab/>
        <w:tab/>
        <w:t>Authorized Officer, Manager or Agent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t>k:\wspp\Security Agreement1.doc</w:t>
      </w:r>
      <w:r>
        <w:br w:type="page"/>
      </w:r>
    </w:p>
    <w:p>
      <w:pPr>
        <w:pStyle w:val="Normal"/>
        <w:jc w:val="center"/>
        <w:rPr>
          <w:rFonts w:ascii="Arial" w:hAnsi="Arial" w:cs="Arial"/>
          <w:sz w:val="22"/>
        </w:rPr>
      </w:pPr>
      <w:r>
        <w:rPr>
          <w:rFonts w:cs="Arial" w:ascii="Arial" w:hAnsi="Arial"/>
          <w:sz w:val="22"/>
        </w:rPr>
        <w:t>Schedule “A”</w:t>
      </w:r>
    </w:p>
    <w:p>
      <w:pPr>
        <w:pStyle w:val="Normal"/>
        <w:jc w:val="center"/>
        <w:rPr>
          <w:rFonts w:ascii="Arial" w:hAnsi="Arial" w:cs="Arial"/>
          <w:sz w:val="22"/>
        </w:rPr>
      </w:pPr>
      <w:r>
        <w:rPr>
          <w:rFonts w:cs="Arial" w:ascii="Arial" w:hAnsi="Arial"/>
          <w:sz w:val="22"/>
        </w:rPr>
        <w:t>Description of Specific Collateral</w:t>
      </w:r>
      <w:r>
        <w:br w:type="page"/>
      </w:r>
    </w:p>
    <w:p>
      <w:pPr>
        <w:pStyle w:val="Normal"/>
        <w:jc w:val="center"/>
        <w:rPr>
          <w:rFonts w:ascii="Arial" w:hAnsi="Arial" w:cs="Arial"/>
          <w:sz w:val="22"/>
        </w:rPr>
      </w:pPr>
      <w:r>
        <w:rPr>
          <w:rFonts w:cs="Arial" w:ascii="Arial" w:hAnsi="Arial"/>
          <w:sz w:val="22"/>
        </w:rPr>
        <w:t>Schedule “B”</w:t>
      </w:r>
    </w:p>
    <w:p>
      <w:pPr>
        <w:pStyle w:val="Normal"/>
        <w:jc w:val="center"/>
        <w:rPr>
          <w:rFonts w:ascii="Arial" w:hAnsi="Arial" w:cs="Arial"/>
          <w:sz w:val="22"/>
        </w:rPr>
      </w:pPr>
      <w:r>
        <w:rPr>
          <w:rFonts w:cs="Arial" w:ascii="Arial" w:hAnsi="Arial"/>
          <w:sz w:val="22"/>
        </w:rPr>
        <w:t>Designation of Contracts</w:t>
      </w:r>
      <w:r>
        <w:br w:type="page"/>
      </w:r>
    </w:p>
    <w:p>
      <w:pPr>
        <w:pStyle w:val="Normal"/>
        <w:jc w:val="center"/>
        <w:rPr>
          <w:rFonts w:ascii="Arial" w:hAnsi="Arial" w:cs="Arial"/>
          <w:sz w:val="22"/>
        </w:rPr>
      </w:pPr>
      <w:r>
        <w:rPr>
          <w:rFonts w:cs="Arial" w:ascii="Arial" w:hAnsi="Arial"/>
          <w:sz w:val="22"/>
        </w:rPr>
        <w:t>Schedule “C”</w:t>
      </w:r>
    </w:p>
    <w:p>
      <w:pPr>
        <w:pStyle w:val="Normal"/>
        <w:jc w:val="center"/>
        <w:rPr>
          <w:rFonts w:ascii="Arial" w:hAnsi="Arial" w:cs="Arial"/>
          <w:sz w:val="22"/>
        </w:rPr>
      </w:pPr>
      <w:r>
        <w:rPr>
          <w:rFonts w:cs="Arial" w:ascii="Arial" w:hAnsi="Arial"/>
          <w:sz w:val="22"/>
        </w:rPr>
        <w:t>Excepted Encumbrances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7</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30.95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7</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0"/>
      </w:rPr>
    </w:pPr>
    <w:r>
      <w:rPr>
        <w:rFonts w:cs="Arial" w:ascii="Arial" w:hAnsi="Arial"/>
        <w:b/>
        <w:sz w:val="20"/>
      </w:rPr>
      <w:t>Draft 6/11/01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0"/>
      </w:rPr>
    </w:pPr>
    <w:r>
      <w:rPr>
        <w:rFonts w:cs="Arial" w:ascii="Arial" w:hAnsi="Arial"/>
        <w:b/>
        <w:sz w:val="20"/>
      </w:rPr>
      <w:t>Draft 6/11/01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120"/>
      <w:ind w:hanging="0" w:start="1440" w:end="1440"/>
    </w:pPr>
    <w:rPr/>
  </w:style>
  <w:style w:type="paragraph" w:styleId="NORMALDOUBLESPACED">
    <w:name w:val="NORMAL DOUBLE SPACED"/>
    <w:basedOn w:val="Normal"/>
    <w:qFormat/>
    <w:pPr>
      <w:spacing w:lineRule="auto" w:line="480"/>
    </w:pPr>
    <w:rPr/>
  </w:style>
  <w:style w:type="paragraph" w:styleId="BodyTextIndent">
    <w:name w:val="Body Text Indent"/>
    <w:basedOn w:val="Normal"/>
    <w:pPr>
      <w:ind w:hanging="0" w:start="720" w:end="0"/>
    </w:pPr>
    <w:rPr>
      <w:rFonts w:ascii="Arial" w:hAnsi="Arial" w:cs="Arial"/>
      <w:sz w:val="22"/>
    </w:rPr>
  </w:style>
  <w:style w:type="paragraph" w:styleId="BodyTextIndent2">
    <w:name w:val="Body Text Indent 2"/>
    <w:basedOn w:val="Normal"/>
    <w:qFormat/>
    <w:pPr>
      <w:ind w:hanging="0" w:start="480" w:end="0"/>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2001-06-05T16:30:00Z</dcterms:created>
  <dc:creator>Arnold Podgorsky</dc:creator>
  <dc:description/>
  <dc:language>en-CA</dc:language>
  <cp:lastModifiedBy>Winona Howard</cp:lastModifiedBy>
  <cp:lastPrinted>2001-06-11T11:02:00Z</cp:lastPrinted>
  <dcterms:modified xsi:type="dcterms:W3CDTF">2001-06-11T12:32:00Z</dcterms:modified>
  <cp:revision>5</cp:revision>
  <dc:subject/>
  <dc:title>SECURITY AGREEMENT</dc:title>
</cp:coreProperties>
</file>