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12" w:before="0" w:after="240"/>
        <w:jc w:val="center"/>
        <w:rPr>
          <w:b/>
          <w:bCs/>
        </w:rPr>
      </w:pPr>
      <w:r>
        <w:rPr>
          <w:b/>
          <w:bCs/>
        </w:rPr>
        <w:t>Current Section 5.12.7 Tariff Language (Becomes New Section 5.12.10)</w:t>
      </w:r>
    </w:p>
    <w:p>
      <w:pPr>
        <w:pStyle w:val="Normal"/>
        <w:spacing w:lineRule="auto" w:line="312" w:before="0" w:after="240"/>
        <w:ind w:firstLine="720" w:end="0"/>
        <w:jc w:val="both"/>
        <w:rPr>
          <w:b/>
          <w:bCs/>
          <w:u w:val="double"/>
        </w:rPr>
      </w:pPr>
      <w:r>
        <w:rPr>
          <w:b/>
          <w:bCs/>
        </w:rPr>
        <w:t>5.12.7</w:t>
        <w:tab/>
        <w:t>Recall Procedures</w:t>
      </w:r>
    </w:p>
    <w:p>
      <w:pPr>
        <w:pStyle w:val="Normal"/>
        <w:spacing w:lineRule="auto" w:line="312" w:before="0" w:after="240"/>
        <w:ind w:firstLine="720" w:end="0"/>
        <w:jc w:val="both"/>
        <w:rPr/>
      </w:pPr>
      <w:r>
        <w:rPr/>
        <w:t>All Installed Capacity</w:t>
      </w:r>
      <w:r>
        <w:rPr>
          <w:b/>
          <w:bCs/>
        </w:rPr>
        <w:t xml:space="preserve">, </w:t>
      </w:r>
      <w:r>
        <w:rPr/>
        <w:t>whether associated with External or Internal Installed Capacity resources, that is not out on maintenance or a forced outage, or scheduled in the Day</w:t>
      </w:r>
      <w:r>
        <w:rPr>
          <w:strike/>
          <w:color w:val="0000FF"/>
        </w:rPr>
        <w:t>-</w:t>
      </w:r>
      <w:r>
        <w:rPr/>
        <w:t>Ahead Market may be used to supply Energy for use outside of the NYCA but will be subject to recall at any time</w:t>
      </w:r>
      <w:r>
        <w:rPr>
          <w:b/>
          <w:bCs/>
        </w:rPr>
        <w:t xml:space="preserve"> </w:t>
      </w:r>
      <w:r>
        <w:rPr/>
        <w:t>by the ISO.  Installed Capacity Suppliers that supply Energy outside of the NYCA must submit recall Bids defining the price at which the ISO may recall the Energy associated with the Installed Capacity they have sold to the NYCA.  External Installed Capacity Suppliers that supply Energy for use outside of the NYCA must comply with the notice and information requirements set forth in the ISO Procedures.</w:t>
      </w:r>
    </w:p>
    <w:p>
      <w:pPr>
        <w:pStyle w:val="Normal"/>
        <w:spacing w:lineRule="auto" w:line="312" w:before="0" w:after="240"/>
        <w:ind w:firstLine="720" w:end="0"/>
        <w:jc w:val="both"/>
        <w:rPr/>
      </w:pPr>
      <w:r>
        <w:rPr/>
        <w:t xml:space="preserve">The ISO will recall Energy, in accordance with ISO Procedures, to resolve shortages of total Operating Reserves, after exhausting all other available Energy Bids.  When automated evaluation of recall Bids is available, and in the event that the ISO recalls Energy, it will do so on a least-cost Bid basis, taking into consideration recall Bids and External Proxy Generator Bus prices consistent with the need to maintain the reliability of the New York State Transmission System.  </w:t>
      </w:r>
    </w:p>
    <w:p>
      <w:pPr>
        <w:pStyle w:val="Normal"/>
        <w:spacing w:lineRule="auto" w:line="312" w:before="0" w:after="240"/>
        <w:ind w:firstLine="720" w:end="0"/>
        <w:jc w:val="both"/>
        <w:rPr/>
      </w:pPr>
      <w:r>
        <w:rPr/>
        <w:t>If an Installed Capacity Supplier’s Energy is recalled, it shall be paid the higher of its recall Bid or the Real-Time LBMP at the relevant Proxy Generator Bus.  Recall Bids shall not set Real-Time or Day-Ahead LBMPs.  Installed Capacity Suppliers must submit their recall Bids at the same time that they enter into arrangements to supply Energy for use outside of the NYCA.</w:t>
      </w:r>
      <w:r>
        <w:br w:type="page"/>
      </w:r>
    </w:p>
    <w:p>
      <w:pPr>
        <w:pStyle w:val="Normal"/>
        <w:spacing w:lineRule="auto" w:line="312" w:before="0" w:after="240"/>
        <w:jc w:val="center"/>
        <w:rPr>
          <w:b/>
          <w:bCs/>
        </w:rPr>
      </w:pPr>
      <w:r>
        <w:rPr>
          <w:b/>
          <w:bCs/>
        </w:rPr>
        <w:t>New Section 5.12.10 Proposed Tariff Language</w:t>
      </w:r>
    </w:p>
    <w:p>
      <w:pPr>
        <w:pStyle w:val="Normal"/>
        <w:spacing w:lineRule="auto" w:line="312" w:before="0" w:after="240"/>
        <w:ind w:firstLine="720" w:end="0"/>
        <w:jc w:val="both"/>
        <w:rPr>
          <w:b/>
          <w:bCs/>
        </w:rPr>
      </w:pPr>
      <w:r>
        <w:rPr>
          <w:b/>
          <w:bCs/>
        </w:rPr>
        <w:t>5.12.10  Curtailing External Transactions in Hour</w:t>
      </w:r>
    </w:p>
    <w:p>
      <w:pPr>
        <w:pStyle w:val="Normal"/>
        <w:spacing w:lineRule="auto" w:line="312" w:before="0" w:after="240"/>
        <w:ind w:firstLine="709" w:end="0"/>
        <w:jc w:val="both"/>
        <w:rPr>
          <w:u w:val="double"/>
        </w:rPr>
      </w:pPr>
      <w:r>
        <w:rPr>
          <w:b/>
          <w:bCs/>
        </w:rPr>
        <w:tab/>
      </w:r>
      <w:r>
        <w:rPr/>
        <w:t>All Installed Capacity Resources that are not scheduled to serve the Day-Ahead Market may be scheduled to supply Energy for use in External Transactions, provided, however, that such transactions shall be subject to curtailment within the hour, consistent with the ISO Procedures.</w:t>
      </w:r>
    </w:p>
    <w:p>
      <w:pPr>
        <w:pStyle w:val="Normal"/>
        <w:spacing w:lineRule="auto" w:line="312" w:before="0" w:after="240"/>
        <w:ind w:firstLine="709" w:end="0"/>
        <w:jc w:val="both"/>
        <w:rPr/>
      </w:pPr>
      <w:r>
        <w:rPr/>
        <w:t xml:space="preserve">If an Installed Capacity Supplier’s Exports are curtailed in hour to resolve a New York reserves shortage, the Transmission Customer scheduling such transaction shall be paid, for the remainder of the hour, the higher of Real-Time LBMP at the New York proxy bus associated with the Export or the real-time price at the relevant proxy bus used by the External Control Area for Transactions with New York.  </w:t>
      </w:r>
    </w:p>
    <w:p>
      <w:pPr>
        <w:pStyle w:val="Normal"/>
        <w:spacing w:lineRule="auto" w:line="312" w:before="0" w:after="24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#85119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FOR NOVEMBER 30, 2000 BIC MEETING AGENDA ITEM 5A -- ICAP</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FOR NOVEMBER 30, 2000 BIC MEETING AGENDA ITEM 5A -- ICAP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Base"/>
    <w:next w:val="HeadingBody1"/>
    <w:qFormat/>
    <w:pPr>
      <w:keepNext w:val="true"/>
      <w:keepLines/>
      <w:numPr>
        <w:ilvl w:val="0"/>
        <w:numId w:val="1"/>
      </w:numPr>
      <w:tabs>
        <w:tab w:val="clear" w:pos="720"/>
      </w:tabs>
      <w:ind w:hanging="720" w:start="1440" w:end="0"/>
      <w:outlineLvl w:val="0"/>
    </w:pPr>
    <w:rPr/>
  </w:style>
  <w:style w:type="paragraph" w:styleId="Heading2">
    <w:name w:val="heading 2"/>
    <w:basedOn w:val="HeadingBase"/>
    <w:next w:val="HeadingBody2"/>
    <w:qFormat/>
    <w:pPr>
      <w:numPr>
        <w:ilvl w:val="1"/>
        <w:numId w:val="1"/>
      </w:numPr>
      <w:tabs>
        <w:tab w:val="clear" w:pos="720"/>
      </w:tabs>
      <w:ind w:hanging="720" w:start="2160" w:end="0"/>
      <w:outlineLvl w:val="1"/>
    </w:pPr>
    <w:rPr/>
  </w:style>
  <w:style w:type="paragraph" w:styleId="Heading3">
    <w:name w:val="heading 3"/>
    <w:basedOn w:val="HeadingBase"/>
    <w:next w:val="HeadingBody3"/>
    <w:qFormat/>
    <w:pPr>
      <w:numPr>
        <w:ilvl w:val="2"/>
        <w:numId w:val="1"/>
      </w:numPr>
      <w:tabs>
        <w:tab w:val="clear" w:pos="720"/>
      </w:tabs>
      <w:ind w:hanging="720" w:start="2880" w:end="0"/>
      <w:outlineLvl w:val="2"/>
    </w:pPr>
    <w:rPr/>
  </w:style>
  <w:style w:type="paragraph" w:styleId="Heading4">
    <w:name w:val="heading 4"/>
    <w:basedOn w:val="HeadingBase"/>
    <w:next w:val="HeadingBody4"/>
    <w:qFormat/>
    <w:pPr>
      <w:numPr>
        <w:ilvl w:val="3"/>
        <w:numId w:val="1"/>
      </w:numPr>
      <w:tabs>
        <w:tab w:val="clear" w:pos="720"/>
      </w:tabs>
      <w:ind w:hanging="720" w:start="3600" w:end="0"/>
      <w:outlineLvl w:val="3"/>
    </w:pPr>
    <w:rPr/>
  </w:style>
  <w:style w:type="paragraph" w:styleId="Heading5">
    <w:name w:val="heading 5"/>
    <w:basedOn w:val="HeadingBase"/>
    <w:next w:val="HeadingBody5"/>
    <w:qFormat/>
    <w:pPr>
      <w:numPr>
        <w:ilvl w:val="4"/>
        <w:numId w:val="1"/>
      </w:numPr>
      <w:tabs>
        <w:tab w:val="clear" w:pos="720"/>
      </w:tabs>
      <w:ind w:hanging="720" w:start="4320" w:end="0"/>
      <w:outlineLvl w:val="4"/>
    </w:pPr>
    <w:rPr/>
  </w:style>
  <w:style w:type="paragraph" w:styleId="Heading6">
    <w:name w:val="heading 6"/>
    <w:basedOn w:val="HeadingBase"/>
    <w:next w:val="HeadingBody6"/>
    <w:qFormat/>
    <w:pPr>
      <w:numPr>
        <w:ilvl w:val="5"/>
        <w:numId w:val="1"/>
      </w:numPr>
      <w:tabs>
        <w:tab w:val="clear" w:pos="720"/>
      </w:tabs>
      <w:ind w:hanging="720" w:start="5040" w:end="0"/>
      <w:outlineLvl w:val="5"/>
    </w:pPr>
    <w:rPr/>
  </w:style>
  <w:style w:type="paragraph" w:styleId="Heading7">
    <w:name w:val="heading 7"/>
    <w:basedOn w:val="HeadingBase"/>
    <w:next w:val="HeadingBody7"/>
    <w:qFormat/>
    <w:pPr>
      <w:numPr>
        <w:ilvl w:val="6"/>
        <w:numId w:val="1"/>
      </w:numPr>
      <w:tabs>
        <w:tab w:val="clear" w:pos="720"/>
      </w:tabs>
      <w:ind w:hanging="720" w:start="5760" w:end="0"/>
      <w:outlineLvl w:val="6"/>
    </w:pPr>
    <w:rPr/>
  </w:style>
  <w:style w:type="paragraph" w:styleId="Heading8">
    <w:name w:val="heading 8"/>
    <w:basedOn w:val="HeadingBase"/>
    <w:next w:val="HeadingBody8"/>
    <w:qFormat/>
    <w:pPr>
      <w:numPr>
        <w:ilvl w:val="7"/>
        <w:numId w:val="1"/>
      </w:numPr>
      <w:tabs>
        <w:tab w:val="clear" w:pos="720"/>
      </w:tabs>
      <w:ind w:hanging="720" w:start="6480" w:end="0"/>
      <w:outlineLvl w:val="7"/>
    </w:pPr>
    <w:rPr/>
  </w:style>
  <w:style w:type="paragraph" w:styleId="Heading9">
    <w:name w:val="heading 9"/>
    <w:basedOn w:val="HeadingBase"/>
    <w:next w:val="HeadingBody9"/>
    <w:qFormat/>
    <w:pPr>
      <w:numPr>
        <w:ilvl w:val="8"/>
        <w:numId w:val="1"/>
      </w:numPr>
      <w:tabs>
        <w:tab w:val="clear" w:pos="720"/>
      </w:tabs>
      <w:ind w:hanging="720" w:start="7200" w:end="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AnnotationReference">
    <w:name w:val="Annotation Reference"/>
    <w:basedOn w:val="DefaultParagraphFont"/>
    <w:qFormat/>
    <w:rPr>
      <w:color w:val="0000FF"/>
      <w:sz w:val="20"/>
      <w:szCs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bCs/>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bCs/>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2000-11-29T17:17:00Z</dcterms:created>
  <dc:creator>03011</dc:creator>
  <dc:description/>
  <dc:language>en-CA</dc:language>
  <cp:lastModifiedBy>03011</cp:lastModifiedBy>
  <cp:lastPrinted>2000-11-29T14:46:00Z</cp:lastPrinted>
  <dcterms:modified xsi:type="dcterms:W3CDTF">2000-11-29T17:17:00Z</dcterms:modified>
  <cp:revision>2</cp:revision>
  <dc:subject/>
  <dc:title>Sections 5.12.7 &amp; 5.12.10 Language</dc:title>
</cp:coreProperties>
</file>