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Section B</w:t>
      </w:r>
    </w:p>
    <w:p>
      <w:pPr>
        <w:pStyle w:val="Normal"/>
        <w:jc w:val="center"/>
        <w:rPr>
          <w:sz w:val="28"/>
        </w:rPr>
      </w:pPr>
      <w:r>
        <w:rPr>
          <w:b/>
          <w:sz w:val="28"/>
        </w:rPr>
        <w:t>Power Supply Proposals from a Varying and Flexible Portfolio</w:t>
      </w:r>
    </w:p>
    <w:p>
      <w:pPr>
        <w:pStyle w:val="Heading3"/>
        <w:ind w:hanging="0" w:start="0"/>
        <w:rPr>
          <w:sz w:val="28"/>
        </w:rPr>
      </w:pPr>
      <w:r>
        <w:rPr>
          <w:sz w:val="28"/>
        </w:rPr>
      </w:r>
    </w:p>
    <w:p>
      <w:pPr>
        <w:pStyle w:val="Normal"/>
        <w:rPr/>
      </w:pPr>
      <w:r>
        <w:rPr>
          <w:sz w:val="24"/>
        </w:rPr>
        <w:t>ENA is proposing to deliver this power supply from a diverse portfolio of Western Firm Energy.  We are offering fixed-price shaped quantity power supply (</w:t>
      </w:r>
      <w:r>
        <w:rPr>
          <w:b/>
          <w:sz w:val="24"/>
        </w:rPr>
        <w:t>Section B.1</w:t>
      </w:r>
      <w:r>
        <w:rPr>
          <w:sz w:val="24"/>
        </w:rPr>
        <w:t>) and fixed-price fixed quantity power supply (</w:t>
      </w:r>
      <w:r>
        <w:rPr>
          <w:b/>
          <w:sz w:val="24"/>
        </w:rPr>
        <w:t>Section B.2</w:t>
      </w:r>
      <w:r>
        <w:rPr>
          <w:sz w:val="24"/>
        </w:rPr>
        <w:t>).  In addition, ENA is proposing an index-priced approach in which the Participants can manage prices on a portfolio basis (</w:t>
      </w:r>
      <w:r>
        <w:rPr>
          <w:b/>
          <w:sz w:val="24"/>
        </w:rPr>
        <w:t>Section B.3</w:t>
      </w:r>
      <w:r>
        <w:rPr>
          <w:sz w:val="24"/>
        </w:rPr>
        <w:t xml:space="preserve">).  </w:t>
      </w:r>
    </w:p>
    <w:p>
      <w:pPr>
        <w:pStyle w:val="Normal"/>
        <w:rPr>
          <w:sz w:val="24"/>
        </w:rPr>
      </w:pPr>
      <w:r>
        <w:rPr>
          <w:sz w:val="24"/>
        </w:rPr>
      </w:r>
    </w:p>
    <w:p>
      <w:pPr>
        <w:pStyle w:val="Normal"/>
        <w:rPr>
          <w:sz w:val="24"/>
        </w:rPr>
      </w:pPr>
      <w:r>
        <w:rPr>
          <w:sz w:val="24"/>
        </w:rPr>
        <w:t>For fixed-price offers, ENA proposes to deliver the energy to Palo Verde 500 (PV), the most liquid and transparent trading hub.  This will provide the Participants the most competitive and flexible Firm Energy supply.  ENA has identified a variety of ways to transfer this Firm Energy from PV to the Participants’ preferred Delivery Points (Liberty and Pinnacle Peak).  These transmission alternatives have different prices as well as different levels of risk.  As such, ENA is proposing to manage the biggest risk the Participants face --underlying commodity risk – first, then add in the transmission alternative which best fits the Participants’ needs.  This approach -- buying the energy at PV, then working together to “move” or “spread” the Firm Energy to Mesa’s Preferred Delivery Points – will allow the Participants to obtain low prices, flexible delivery alternatives and the ability to easily sell excess energy at a liquid trading point.  ENA has also included fixed price offers at the Westwing delivery point.  This product has a substantial premium over ENA’s Palo Verde supply due to the lack of liquidity and price transparency at Westwing on a term basis.  As mentioned above there may be methods to “move” or “spread” the Firm Energy to Mesa’s Preferred Delivery Points at a substantial discount if this is executed when opportunities arise.</w:t>
      </w:r>
    </w:p>
    <w:p>
      <w:pPr>
        <w:pStyle w:val="Normal"/>
        <w:rPr>
          <w:sz w:val="24"/>
        </w:rPr>
      </w:pPr>
      <w:r>
        <w:rPr>
          <w:sz w:val="24"/>
        </w:rPr>
      </w:r>
    </w:p>
    <w:p>
      <w:pPr>
        <w:pStyle w:val="Normal"/>
        <w:rPr/>
      </w:pPr>
      <w:r>
        <w:rPr>
          <w:sz w:val="24"/>
        </w:rPr>
        <w:t xml:space="preserve">Due to the volatility of the Energy Markets we will not be able to hold any prices in </w:t>
      </w:r>
      <w:r>
        <w:rPr>
          <w:b/>
          <w:sz w:val="24"/>
        </w:rPr>
        <w:t>Section B</w:t>
      </w:r>
      <w:r>
        <w:rPr>
          <w:sz w:val="24"/>
        </w:rPr>
        <w:t xml:space="preserve"> firm, but we will update the Participants on the movement of these prices.  Furthermore, due to large movements in energy prices in the WSPP, ENA believes it is important for the Participants to remain flexible on when to purchase term energy and transmission.  ENA would like work with the Participants to take full advantage of market opportunities when they arise.  </w:t>
      </w:r>
    </w:p>
    <w:p>
      <w:pPr>
        <w:pStyle w:val="Normal"/>
        <w:rPr>
          <w:sz w:val="24"/>
        </w:rPr>
      </w:pPr>
      <w:r>
        <w:rPr>
          <w:sz w:val="24"/>
        </w:rPr>
      </w:r>
    </w:p>
    <w:p>
      <w:pPr>
        <w:pStyle w:val="Normal"/>
        <w:rPr>
          <w:sz w:val="24"/>
        </w:rPr>
      </w:pPr>
      <w:r>
        <w:rPr>
          <w:sz w:val="24"/>
        </w:rPr>
        <w:t>Using the Participants’ energy capacity shortfall posted on the RW Beck website, ENA proposes the energy shapes and terms shown below:</w:t>
      </w:r>
    </w:p>
    <w:p>
      <w:pPr>
        <w:pStyle w:val="Normal"/>
        <w:rPr>
          <w:sz w:val="24"/>
        </w:rPr>
      </w:pPr>
      <w:r>
        <w:rPr>
          <w:sz w:val="24"/>
        </w:rPr>
      </w:r>
    </w:p>
    <w:p>
      <w:pPr>
        <w:pStyle w:val="Heading1"/>
        <w:ind w:hanging="0" w:start="0"/>
        <w:rPr/>
      </w:pPr>
      <w:r>
        <w:rPr/>
        <w:t>B.1) Shaped Power Purchase Proposals</w:t>
      </w:r>
    </w:p>
    <w:p>
      <w:pPr>
        <w:pStyle w:val="Normal"/>
        <w:rPr>
          <w:b/>
          <w:sz w:val="24"/>
          <w:u w:val="single"/>
        </w:rPr>
      </w:pPr>
      <w:r>
        <w:rPr>
          <w:b/>
          <w:sz w:val="24"/>
          <w:u w:val="single"/>
        </w:rPr>
      </w:r>
    </w:p>
    <w:p>
      <w:pPr>
        <w:pStyle w:val="Normal"/>
        <w:rPr>
          <w:sz w:val="24"/>
        </w:rPr>
      </w:pPr>
      <w:r>
        <w:rPr>
          <w:sz w:val="24"/>
        </w:rPr>
        <w:t>Delivery Point:</w:t>
        <w:tab/>
        <w:t>Palo Verde/Westwing</w:t>
      </w:r>
    </w:p>
    <w:p>
      <w:pPr>
        <w:pStyle w:val="Normal"/>
        <w:rPr>
          <w:sz w:val="24"/>
        </w:rPr>
      </w:pPr>
      <w:r>
        <w:rPr>
          <w:sz w:val="24"/>
        </w:rPr>
      </w:r>
    </w:p>
    <w:p>
      <w:pPr>
        <w:pStyle w:val="Normal"/>
        <w:rPr>
          <w:sz w:val="24"/>
        </w:rPr>
      </w:pPr>
      <w:r>
        <w:rPr>
          <w:sz w:val="24"/>
        </w:rPr>
        <w:t>Delivery Hours:</w:t>
        <w:tab/>
        <w:t>7 by 24 (Around the clock)</w:t>
      </w:r>
    </w:p>
    <w:p>
      <w:pPr>
        <w:pStyle w:val="Normal"/>
        <w:rPr>
          <w:sz w:val="24"/>
        </w:rPr>
      </w:pPr>
      <w:r>
        <w:rPr>
          <w:sz w:val="24"/>
        </w:rPr>
      </w:r>
    </w:p>
    <w:p>
      <w:pPr>
        <w:pStyle w:val="Normal"/>
        <w:rPr>
          <w:sz w:val="24"/>
        </w:rPr>
      </w:pPr>
      <w:r>
        <w:rPr>
          <w:sz w:val="24"/>
        </w:rPr>
        <w:t>Product:</w:t>
        <w:tab/>
        <w:tab/>
        <w:t>Western Firm Energy</w:t>
      </w:r>
    </w:p>
    <w:p>
      <w:pPr>
        <w:pStyle w:val="Normal"/>
        <w:rPr>
          <w:sz w:val="24"/>
        </w:rPr>
      </w:pPr>
      <w:r>
        <w:rPr>
          <w:sz w:val="24"/>
        </w:rPr>
      </w:r>
    </w:p>
    <w:p>
      <w:pPr>
        <w:pStyle w:val="Normal"/>
        <w:rPr>
          <w:sz w:val="24"/>
        </w:rPr>
      </w:pPr>
      <w:r>
        <w:rPr>
          <w:sz w:val="24"/>
        </w:rPr>
        <w:t>Quantity and Term:</w:t>
        <w:tab/>
        <w:t>See chart</w:t>
      </w:r>
    </w:p>
    <w:p>
      <w:pPr>
        <w:pStyle w:val="Normal"/>
        <w:rPr>
          <w:sz w:val="24"/>
        </w:rPr>
      </w:pPr>
      <w:r>
        <w:rPr>
          <w:sz w:val="24"/>
        </w:rPr>
      </w:r>
    </w:p>
    <w:p>
      <w:pPr>
        <w:pStyle w:val="Normal"/>
        <w:rPr/>
      </w:pPr>
      <w:r>
        <w:rPr/>
      </w:r>
    </w:p>
    <w:p>
      <w:pPr>
        <w:pStyle w:val="Normal"/>
        <w:rPr/>
      </w:pPr>
      <w:bookmarkStart w:id="0" w:name="_1044285844"/>
      <w:bookmarkStart w:id="1" w:name="_1044281729"/>
      <w:bookmarkStart w:id="2" w:name="_1044281596"/>
      <w:bookmarkStart w:id="3" w:name="_1041763785"/>
      <w:bookmarkStart w:id="4" w:name="_1041755892"/>
      <w:bookmarkStart w:id="5" w:name="_1041757109"/>
      <w:bookmarkStart w:id="6" w:name="_1041756883"/>
      <w:bookmarkStart w:id="7" w:name="_1041755183"/>
      <w:bookmarkStart w:id="8" w:name="_1041755114"/>
      <w:bookmarkStart w:id="9" w:name="_1041755060"/>
      <w:bookmarkStart w:id="10" w:name="_1041754913"/>
      <w:bookmarkEnd w:id="0"/>
      <w:bookmarkEnd w:id="1"/>
      <w:bookmarkEnd w:id="2"/>
      <w:bookmarkEnd w:id="3"/>
      <w:bookmarkEnd w:id="4"/>
      <w:bookmarkEnd w:id="5"/>
      <w:bookmarkEnd w:id="6"/>
      <w:bookmarkEnd w:id="7"/>
      <w:bookmarkEnd w:id="8"/>
      <w:bookmarkEnd w:id="9"/>
      <w:bookmarkEnd w:id="10"/>
      <w:r>
        <w:rPr/>
        <w:object w:dxaOrig="8553" w:dyaOrig="92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2.75pt;height:448.2pt" filled="f" o:ole="">
            <v:imagedata r:id="rId3" o:title=""/>
          </v:shape>
          <o:OLEObject Type="Embed" ProgID="Excel.Sheet.12" ShapeID="ole_rId2" DrawAspect="Content" ObjectID="_91614941" r:id="rId2"/>
        </w:object>
      </w:r>
      <w:r>
        <w:rPr/>
        <w:t xml:space="preserve"> </w:t>
      </w:r>
    </w:p>
    <w:p>
      <w:pPr>
        <w:pStyle w:val="Normal"/>
        <w:rPr/>
      </w:pPr>
      <w:r>
        <w:rPr/>
      </w:r>
    </w:p>
    <w:p>
      <w:pPr>
        <w:pStyle w:val="Normal"/>
        <w:rPr>
          <w:sz w:val="24"/>
        </w:rPr>
      </w:pPr>
      <w:r>
        <w:rPr>
          <w:sz w:val="24"/>
        </w:rPr>
        <w:t>Price:</w:t>
      </w:r>
    </w:p>
    <w:p>
      <w:pPr>
        <w:pStyle w:val="Normal"/>
        <w:rPr/>
      </w:pPr>
      <w:bookmarkStart w:id="11" w:name="_1044286338"/>
      <w:bookmarkStart w:id="12" w:name="_1044285809"/>
      <w:bookmarkStart w:id="13" w:name="_1044285542"/>
      <w:bookmarkStart w:id="14" w:name="_1044283633"/>
      <w:bookmarkEnd w:id="11"/>
      <w:bookmarkEnd w:id="12"/>
      <w:bookmarkEnd w:id="13"/>
      <w:bookmarkEnd w:id="14"/>
      <w:r>
        <w:rPr/>
        <w:object w:dxaOrig="6004" w:dyaOrig="25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0.75pt;height:126pt" filled="f" o:ole="">
            <v:imagedata r:id="rId5" o:title=""/>
          </v:shape>
          <o:OLEObject Type="Embed" ProgID="Excel.Sheet.12" ShapeID="ole_rId4" DrawAspect="Content" ObjectID="_1237138521" r:id="rId4"/>
        </w:object>
      </w:r>
    </w:p>
    <w:p>
      <w:pPr>
        <w:pStyle w:val="Normal"/>
        <w:rPr>
          <w:sz w:val="24"/>
        </w:rPr>
      </w:pPr>
      <w:r>
        <w:rPr>
          <w:sz w:val="24"/>
        </w:rPr>
      </w:r>
    </w:p>
    <w:p>
      <w:pPr>
        <w:pStyle w:val="Normal"/>
        <w:rPr>
          <w:sz w:val="24"/>
        </w:rPr>
      </w:pPr>
      <w:r>
        <w:rPr>
          <w:sz w:val="24"/>
        </w:rPr>
      </w:r>
    </w:p>
    <w:p>
      <w:pPr>
        <w:pStyle w:val="Heading3"/>
        <w:ind w:hanging="0" w:start="0"/>
        <w:rPr>
          <w:sz w:val="24"/>
          <w:u w:val="single"/>
        </w:rPr>
      </w:pPr>
      <w:r>
        <w:rPr>
          <w:sz w:val="24"/>
          <w:u w:val="single"/>
        </w:rPr>
        <w:t>B.2) Flat Power Purchase Proposals</w:t>
      </w:r>
    </w:p>
    <w:p>
      <w:pPr>
        <w:pStyle w:val="Normal"/>
        <w:rPr>
          <w:sz w:val="24"/>
          <w:u w:val="single"/>
        </w:rPr>
      </w:pPr>
      <w:r>
        <w:rPr>
          <w:sz w:val="24"/>
          <w:u w:val="single"/>
        </w:rPr>
      </w:r>
    </w:p>
    <w:p>
      <w:pPr>
        <w:pStyle w:val="Normal"/>
        <w:rPr/>
      </w:pPr>
      <w:r>
        <w:rPr/>
      </w:r>
    </w:p>
    <w:p>
      <w:pPr>
        <w:pStyle w:val="Normal"/>
        <w:rPr>
          <w:b/>
          <w:sz w:val="24"/>
          <w:u w:val="single"/>
        </w:rPr>
      </w:pPr>
      <w:r>
        <w:rPr>
          <w:b/>
          <w:sz w:val="24"/>
          <w:u w:val="single"/>
        </w:rPr>
      </w:r>
    </w:p>
    <w:p>
      <w:pPr>
        <w:pStyle w:val="Normal"/>
        <w:rPr>
          <w:sz w:val="24"/>
        </w:rPr>
      </w:pPr>
      <w:r>
        <w:rPr>
          <w:sz w:val="24"/>
        </w:rPr>
        <w:t>Delivery Point:</w:t>
        <w:tab/>
        <w:t>Palo Verde/Westwing</w:t>
      </w:r>
    </w:p>
    <w:p>
      <w:pPr>
        <w:pStyle w:val="Normal"/>
        <w:rPr>
          <w:sz w:val="24"/>
        </w:rPr>
      </w:pPr>
      <w:r>
        <w:rPr>
          <w:sz w:val="24"/>
        </w:rPr>
      </w:r>
    </w:p>
    <w:p>
      <w:pPr>
        <w:pStyle w:val="Normal"/>
        <w:rPr>
          <w:sz w:val="24"/>
        </w:rPr>
      </w:pPr>
      <w:r>
        <w:rPr>
          <w:sz w:val="24"/>
        </w:rPr>
        <w:t>Delivery Hours:</w:t>
        <w:tab/>
        <w:t>7 by 24 (Around the clock)</w:t>
      </w:r>
    </w:p>
    <w:p>
      <w:pPr>
        <w:pStyle w:val="Normal"/>
        <w:rPr>
          <w:sz w:val="24"/>
        </w:rPr>
      </w:pPr>
      <w:r>
        <w:rPr>
          <w:sz w:val="24"/>
        </w:rPr>
      </w:r>
    </w:p>
    <w:p>
      <w:pPr>
        <w:pStyle w:val="Normal"/>
        <w:rPr>
          <w:sz w:val="24"/>
        </w:rPr>
      </w:pPr>
      <w:r>
        <w:rPr>
          <w:sz w:val="24"/>
        </w:rPr>
        <w:t>Product:</w:t>
        <w:tab/>
        <w:tab/>
        <w:t>Western Firm Energy</w:t>
      </w:r>
    </w:p>
    <w:p>
      <w:pPr>
        <w:pStyle w:val="Normal"/>
        <w:rPr>
          <w:sz w:val="24"/>
        </w:rPr>
      </w:pPr>
      <w:r>
        <w:rPr>
          <w:sz w:val="24"/>
        </w:rPr>
      </w:r>
    </w:p>
    <w:p>
      <w:pPr>
        <w:pStyle w:val="Normal"/>
        <w:rPr>
          <w:sz w:val="24"/>
        </w:rPr>
      </w:pPr>
      <w:r>
        <w:rPr>
          <w:sz w:val="24"/>
        </w:rPr>
        <w:t>Quantity:</w:t>
        <w:tab/>
        <w:tab/>
        <w:t xml:space="preserve">50 MW  </w:t>
      </w:r>
    </w:p>
    <w:p>
      <w:pPr>
        <w:pStyle w:val="Normal"/>
        <w:rPr>
          <w:sz w:val="24"/>
        </w:rPr>
      </w:pPr>
      <w:r>
        <w:rPr>
          <w:sz w:val="24"/>
        </w:rPr>
      </w:r>
    </w:p>
    <w:p>
      <w:pPr>
        <w:pStyle w:val="Normal"/>
        <w:rPr>
          <w:sz w:val="24"/>
        </w:rPr>
      </w:pPr>
      <w:r>
        <w:rPr>
          <w:sz w:val="24"/>
        </w:rPr>
        <w:t>Term:</w:t>
        <w:tab/>
        <w:tab/>
        <w:tab/>
        <w:t>Product 1:</w:t>
        <w:tab/>
        <w:t>5/1/2001 – 4/30/2002</w:t>
      </w:r>
    </w:p>
    <w:p>
      <w:pPr>
        <w:pStyle w:val="Normal"/>
        <w:rPr>
          <w:sz w:val="24"/>
        </w:rPr>
      </w:pPr>
      <w:r>
        <w:rPr>
          <w:sz w:val="24"/>
        </w:rPr>
        <w:tab/>
        <w:tab/>
        <w:tab/>
        <w:t>Product 2:</w:t>
        <w:tab/>
        <w:t>5/1/2001 – 4/30/2003</w:t>
      </w:r>
    </w:p>
    <w:p>
      <w:pPr>
        <w:pStyle w:val="Normal"/>
        <w:rPr>
          <w:sz w:val="24"/>
        </w:rPr>
      </w:pPr>
      <w:r>
        <w:rPr>
          <w:sz w:val="24"/>
        </w:rPr>
      </w:r>
    </w:p>
    <w:p>
      <w:pPr>
        <w:pStyle w:val="Normal"/>
        <w:rPr>
          <w:sz w:val="24"/>
        </w:rPr>
      </w:pPr>
      <w:r>
        <w:rPr>
          <w:sz w:val="24"/>
        </w:rPr>
        <w:t>Price:</w:t>
      </w:r>
    </w:p>
    <w:p>
      <w:pPr>
        <w:pStyle w:val="Normal"/>
        <w:rPr>
          <w:sz w:val="24"/>
        </w:rPr>
      </w:pPr>
      <w:r>
        <w:rPr>
          <w:sz w:val="24"/>
        </w:rPr>
      </w:r>
    </w:p>
    <w:p>
      <w:pPr>
        <w:pStyle w:val="Normal"/>
        <w:rPr>
          <w:sz w:val="24"/>
        </w:rPr>
      </w:pPr>
      <w:bookmarkStart w:id="15" w:name="_1044286431"/>
      <w:bookmarkEnd w:id="15"/>
      <w:r>
        <w:rPr/>
        <w:object w:dxaOrig="6004" w:dyaOrig="258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0.75pt;height:126pt" filled="f" o:ole="">
            <v:imagedata r:id="rId7" o:title=""/>
          </v:shape>
          <o:OLEObject Type="Embed" ProgID="Excel.Sheet.12" ShapeID="ole_rId6" DrawAspect="Content" ObjectID="_519885903" r:id="rId6"/>
        </w:object>
      </w:r>
    </w:p>
    <w:p>
      <w:pPr>
        <w:pStyle w:val="Normal"/>
        <w:rPr>
          <w:sz w:val="24"/>
        </w:rPr>
      </w:pPr>
      <w:r>
        <w:rPr>
          <w:sz w:val="24"/>
        </w:rPr>
      </w:r>
    </w:p>
    <w:p>
      <w:pPr>
        <w:pStyle w:val="Heading1"/>
        <w:ind w:hanging="0" w:start="0"/>
        <w:rPr/>
      </w:pPr>
      <w:r>
        <w:rPr/>
        <w:t>B.3 Index to Fixed Energy Proposal</w:t>
      </w:r>
    </w:p>
    <w:p>
      <w:pPr>
        <w:pStyle w:val="Normal"/>
        <w:rPr>
          <w:sz w:val="24"/>
        </w:rPr>
      </w:pPr>
      <w:r>
        <w:rPr>
          <w:sz w:val="24"/>
        </w:rPr>
      </w:r>
    </w:p>
    <w:p>
      <w:pPr>
        <w:pStyle w:val="Normal"/>
        <w:rPr>
          <w:sz w:val="24"/>
        </w:rPr>
      </w:pPr>
      <w:r>
        <w:rPr>
          <w:sz w:val="24"/>
        </w:rPr>
        <w:t xml:space="preserve">As an alternative to fixed-price energy, the Participants could work through ENA to purchase Physically Firm Energy from a portfolio of suppliers that have a natural positions at Mesa’s Preferred Delivery Points priced at the Dow Jones PV Index plus an adder.  Then, going forward the Participants can work with ENA and it’s broad base of suppliers to convert the DJ PV Index into a fixed price.  This strategy will bring more competition to the Participants fixed firm energy request and could result in lower energy prices.  The Participants would have the flexibility to fix portions of their commodity supply as they saw fit.   </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2001-02-21T22:42:00Z</dcterms:created>
  <dc:creator>dfuller</dc:creator>
  <dc:description/>
  <dc:language>en-CA</dc:language>
  <cp:lastModifiedBy>pchoi</cp:lastModifiedBy>
  <cp:lastPrinted>2001-02-21T18:48:00Z</cp:lastPrinted>
  <dcterms:modified xsi:type="dcterms:W3CDTF">2001-02-21T22:42:00Z</dcterms:modified>
  <cp:revision>2</cp:revision>
  <dc:subject/>
  <dc:title>Section B</dc:title>
</cp:coreProperties>
</file>