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numPr>
          <w:ilvl w:val="0"/>
          <w:numId w:val="2"/>
        </w:numPr>
        <w:spacing w:before="0" w:after="120"/>
        <w:rPr>
          <w:sz w:val="20"/>
        </w:rPr>
      </w:pPr>
      <w:r>
        <w:rPr>
          <w:sz w:val="20"/>
        </w:rPr>
        <w:t xml:space="preserve">Notwithstanding other provisions  in this Contract, the Purchaser can make changes to the Gas Turbine Generator (GTG) Scope in accordance with the following procedure for projects within the contiguous United States other than California;. </w:t>
      </w:r>
    </w:p>
    <w:p>
      <w:pPr>
        <w:pStyle w:val="Heading1"/>
        <w:numPr>
          <w:ilvl w:val="2"/>
          <w:numId w:val="1"/>
        </w:numPr>
        <w:ind w:hanging="0" w:start="0"/>
        <w:rPr>
          <w:sz w:val="20"/>
        </w:rPr>
      </w:pPr>
      <w:r>
        <w:rPr>
          <w:sz w:val="20"/>
        </w:rPr>
        <w:t xml:space="preserve">Until thirteen months before the scheduled GTG Shipment Date:  (i) the Purchaser may by written notice change the Basis Conditions applicable to the GTG Scope, and  (ii) the Purchaser and the Seller may by agreement change any element of the GTG Scope other than the gas turbine frame size or the generator model.  Any such change will result in an equitable adjustment to the contract price but the scheduled Shipment Date will remain unchanged. </w:t>
      </w:r>
    </w:p>
    <w:p>
      <w:pPr>
        <w:pStyle w:val="Heading1"/>
        <w:numPr>
          <w:ilvl w:val="2"/>
          <w:numId w:val="1"/>
        </w:numPr>
        <w:ind w:hanging="0" w:start="0"/>
        <w:rPr>
          <w:sz w:val="20"/>
        </w:rPr>
      </w:pPr>
      <w:r>
        <w:rPr>
          <w:sz w:val="20"/>
        </w:rPr>
        <w:t xml:space="preserve">Thirteen months prior to the GTG Shipment Date the Purchaser and Seller agree that  the scope and basis conditions  included in this agreement  shall be the basis of design and manufacture of the GTG. </w:t>
      </w:r>
    </w:p>
    <w:p>
      <w:pPr>
        <w:pStyle w:val="Heading1"/>
        <w:numPr>
          <w:ilvl w:val="2"/>
          <w:numId w:val="1"/>
        </w:numPr>
        <w:ind w:hanging="0" w:start="0"/>
        <w:rPr>
          <w:sz w:val="20"/>
        </w:rPr>
      </w:pPr>
      <w:r>
        <w:rPr>
          <w:sz w:val="20"/>
        </w:rPr>
        <w:t xml:space="preserve">Until ten months before the scheduled GTG Shipment Date:  (i) the Purchaser may provide a final fuel analysis which meets the Seller’s requirements, at no additional cost, and (ii) if the Site is within the contiguous United States (other than the State of California), the Purchaser may change the final U.S. site location, in which event the contract price will be equitably adjusted to reflect changes in transportation logistics but the scheduled Shipment Date will remain unchanged. </w:t>
      </w:r>
    </w:p>
    <w:p>
      <w:pPr>
        <w:pStyle w:val="Normal"/>
        <w:rPr/>
      </w:pPr>
      <w:r>
        <w:rPr/>
        <w:t xml:space="preserve">[The above dates will be extended by six months for California projects.  </w:t>
      </w:r>
      <w:r>
        <w:rPr>
          <w:i/>
        </w:rPr>
        <w:t>Applicable to Frame Units Only</w:t>
      </w:r>
      <w:r>
        <w:rPr/>
        <w:t>]</w:t>
      </w:r>
    </w:p>
    <w:p>
      <w:pPr>
        <w:pStyle w:val="Normal"/>
        <w:rPr/>
      </w:pPr>
      <w:r>
        <w:rPr/>
      </w:r>
    </w:p>
    <w:p>
      <w:pPr>
        <w:pStyle w:val="Normal"/>
        <w:rPr/>
      </w:pPr>
      <w:r>
        <w:rPr/>
        <w:t xml:space="preserve">If the ODM is held more than ten months before the scheduled GTG Shipment Date, then the Purchaser must as a condition precedent to any such change advise the Seller at the ODM of any changes which it intends to request pursuant to the above paragraphs.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lowerLetter"/>
      <w:lvlText w:val="(%1)"/>
      <w:lvlJc w:val="start"/>
      <w:pPr>
        <w:tabs>
          <w:tab w:val="num" w:pos="720"/>
        </w:tabs>
        <w:ind w:start="720" w:hanging="720"/>
      </w:pPr>
    </w:lvl>
    <w:lvl w:ilvl="1">
      <w:start w:val="1"/>
      <w:numFmt w:val="lowerLetter"/>
      <w:lvlText w:val="%2)"/>
      <w:lvlJc w:val="start"/>
      <w:pPr>
        <w:tabs>
          <w:tab w:val="num" w:pos="720"/>
        </w:tabs>
        <w:ind w:start="720" w:hanging="360"/>
      </w:pPr>
    </w:lvl>
    <w:lvl w:ilvl="2">
      <w:start w:val="1"/>
      <w:numFmt w:val="lowerLetter"/>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0" w:after="120"/>
      <w:outlineLvl w:val="0"/>
    </w:pPr>
    <w:rPr>
      <w:sz w:val="24"/>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2001-03-12T20:21:00Z</dcterms:created>
  <dc:creator>GE</dc:creator>
  <dc:description/>
  <dc:language>en-CA</dc:language>
  <cp:lastModifiedBy>GE</cp:lastModifiedBy>
  <dcterms:modified xsi:type="dcterms:W3CDTF">2001-03-13T19:36:00Z</dcterms:modified>
  <cp:revision>2</cp:revision>
  <dc:subject/>
  <dc:title>(1) Notwithstanding other provisions  in this Contract, the Purchaser can make changes to the Gas Turbine Generator (GTG) Scope in accordance with the following procedure for projects within the contiguous United States other than California;</dc:title>
</cp:coreProperties>
</file>