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ind w:hanging="0" w:start="0"/>
        <w:rPr/>
      </w:pPr>
      <w:r>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Pr>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t>ERCOT</w:t>
      </w:r>
    </w:p>
    <w:p>
      <w:pPr>
        <w:pStyle w:val="Normal"/>
        <w:numPr>
          <w:ilvl w:val="0"/>
          <w:numId w:val="0"/>
        </w:numPr>
        <w:pBdr>
          <w:bottom w:val="single" w:sz="4" w:space="0" w:color="000000"/>
        </w:pBdr>
        <w:jc w:val="center"/>
        <w:outlineLvl w:val="0"/>
        <w:rPr>
          <w:b/>
          <w:sz w:val="36"/>
        </w:rPr>
      </w:pPr>
      <w:r>
        <w:rPr>
          <w:b/>
          <w:sz w:val="36"/>
        </w:rPr>
        <w:t>Draft Protocols Document</w:t>
      </w:r>
    </w:p>
    <w:p>
      <w:pPr>
        <w:pStyle w:val="Normal"/>
        <w:numPr>
          <w:ilvl w:val="0"/>
          <w:numId w:val="0"/>
        </w:numPr>
        <w:pBdr>
          <w:bottom w:val="single" w:sz="4" w:space="0" w:color="000000"/>
        </w:pBdr>
        <w:jc w:val="center"/>
        <w:outlineLvl w:val="0"/>
        <w:rPr>
          <w:b/>
          <w:sz w:val="36"/>
        </w:rPr>
      </w:pPr>
      <w:r>
        <w:rPr>
          <w:b/>
          <w:sz w:val="36"/>
        </w:rPr>
        <w:t>Section 6: Ancillary Services</w:t>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rPr>
      </w:pPr>
      <w:r>
        <w:rPr>
          <w:b/>
        </w:rPr>
        <w:t>July 27, 2000</w:t>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Prepared By</w:t>
      </w:r>
    </w:p>
    <w:p>
      <w:pPr>
        <w:pStyle w:val="Normal"/>
        <w:jc w:val="center"/>
        <w:rPr>
          <w:b/>
        </w:rPr>
      </w:pPr>
      <w:r>
        <w:rPr>
          <w:b/>
        </w:rPr>
      </w:r>
    </w:p>
    <w:p>
      <w:pPr>
        <w:pStyle w:val="Normal"/>
        <w:jc w:val="center"/>
        <w:rPr>
          <w:b/>
        </w:rPr>
      </w:pPr>
      <w:r>
        <w:rPr>
          <w:b/>
        </w:rPr>
      </w:r>
    </w:p>
    <w:p>
      <w:pPr>
        <w:pStyle w:val="Normal"/>
        <w:numPr>
          <w:ilvl w:val="0"/>
          <w:numId w:val="0"/>
        </w:numPr>
        <w:jc w:val="center"/>
        <w:outlineLvl w:val="0"/>
        <w:rPr>
          <w:b/>
          <w:sz w:val="28"/>
        </w:rPr>
      </w:pPr>
      <w:r>
        <w:rPr>
          <w:b/>
          <w:sz w:val="28"/>
        </w:rPr>
        <w:t>The ERCOT Stakeholders</w:t>
      </w:r>
    </w:p>
    <w:p>
      <w:pPr>
        <w:pStyle w:val="Normal"/>
        <w:numPr>
          <w:ilvl w:val="0"/>
          <w:numId w:val="0"/>
        </w:numPr>
        <w:jc w:val="center"/>
        <w:outlineLvl w:val="0"/>
        <w:rPr>
          <w:b/>
          <w:sz w:val="28"/>
        </w:rPr>
      </w:pPr>
      <w:r>
        <w:rPr>
          <w:b/>
          <w:sz w:val="28"/>
        </w:rPr>
        <w:t xml:space="preserve">And </w:t>
      </w:r>
    </w:p>
    <w:p>
      <w:pPr>
        <w:pStyle w:val="Normal"/>
        <w:numPr>
          <w:ilvl w:val="0"/>
          <w:numId w:val="0"/>
        </w:numPr>
        <w:jc w:val="center"/>
        <w:outlineLvl w:val="0"/>
        <w:rPr>
          <w:b/>
          <w:sz w:val="28"/>
        </w:rPr>
      </w:pPr>
      <w:r>
        <w:rPr>
          <w:b/>
          <w:sz w:val="28"/>
        </w:rPr>
        <w:t>Tabors Caramanis &amp; Associates</w:t>
      </w:r>
    </w:p>
    <w:p>
      <w:pPr>
        <w:pStyle w:val="Normal"/>
        <w:jc w:val="center"/>
        <w:rPr>
          <w:b/>
          <w:sz w:val="28"/>
        </w:rPr>
      </w:pPr>
      <w:r>
        <w:rPr>
          <w:b/>
          <w:sz w:val="28"/>
        </w:rPr>
      </w:r>
    </w:p>
    <w:p>
      <w:pPr>
        <w:pStyle w:val="Normal"/>
        <w:rPr>
          <w:b/>
          <w:sz w:val="28"/>
        </w:rPr>
      </w:pPr>
      <w:r>
        <w:rPr>
          <w:b/>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r>
    </w:p>
    <w:sdt>
      <w:sdtPr>
        <w:docPartObj>
          <w:docPartGallery w:val="Table of Contents"/>
          <w:docPartUnique w:val="true"/>
        </w:docPartObj>
      </w:sdtPr>
      <w:sdtContent>
        <w:p>
          <w:pPr>
            <w:pStyle w:val="TOC1"/>
            <w:rPr>
              <w:i w:val="false"/>
              <w:i w:val="false"/>
              <w:sz w:val="24"/>
            </w:rPr>
          </w:pPr>
          <w:r>
            <w:fldChar w:fldCharType="begin"/>
          </w:r>
          <w:r>
            <w:rPr>
              <w:rStyle w:val="IndexLink"/>
            </w:rPr>
            <w:instrText xml:space="preserve"> TOC \o "1-2" \h \z </w:instrText>
          </w:r>
          <w:r>
            <w:rPr>
              <w:rStyle w:val="IndexLink"/>
            </w:rPr>
            <w:fldChar w:fldCharType="separate"/>
          </w:r>
          <w:hyperlink w:anchor="__RefHeading___Toc489344920">
            <w:r>
              <w:rPr>
                <w:rStyle w:val="IndexLink"/>
              </w:rPr>
              <w:t>6.</w:t>
            </w:r>
            <w:r>
              <w:rPr>
                <w:rStyle w:val="IndexLink"/>
                <w:i w:val="false"/>
                <w:sz w:val="24"/>
              </w:rPr>
              <w:tab/>
            </w:r>
            <w:r>
              <w:rPr>
                <w:rStyle w:val="IndexLink"/>
              </w:rPr>
              <w:t>Ancillary Services</w:t>
              <w:tab/>
              <w:t>6-1</w:t>
            </w:r>
          </w:hyperlink>
        </w:p>
        <w:p>
          <w:pPr>
            <w:pStyle w:val="TOC2"/>
            <w:rPr>
              <w:sz w:val="24"/>
            </w:rPr>
          </w:pPr>
          <w:hyperlink w:anchor="__RefHeading___Toc489344921">
            <w:r>
              <w:rPr>
                <w:rStyle w:val="IndexLink"/>
              </w:rPr>
              <w:t>6.1.</w:t>
            </w:r>
            <w:r>
              <w:rPr>
                <w:rStyle w:val="IndexLink"/>
                <w:sz w:val="24"/>
              </w:rPr>
              <w:tab/>
            </w:r>
            <w:r>
              <w:rPr>
                <w:rStyle w:val="IndexLink"/>
              </w:rPr>
              <w:t>Ancillary Services Required by ERCOT</w:t>
              <w:tab/>
              <w:t>6-1</w:t>
            </w:r>
          </w:hyperlink>
        </w:p>
        <w:p>
          <w:pPr>
            <w:pStyle w:val="TOC2"/>
            <w:rPr>
              <w:sz w:val="24"/>
            </w:rPr>
          </w:pPr>
          <w:hyperlink w:anchor="__RefHeading___Toc489344922">
            <w:r>
              <w:rPr>
                <w:rStyle w:val="IndexLink"/>
              </w:rPr>
              <w:t>6.2.</w:t>
            </w:r>
            <w:r>
              <w:rPr>
                <w:rStyle w:val="IndexLink"/>
                <w:sz w:val="24"/>
              </w:rPr>
              <w:tab/>
            </w:r>
            <w:r>
              <w:rPr>
                <w:rStyle w:val="IndexLink"/>
              </w:rPr>
              <w:t>Providers of Ancillary Services</w:t>
              <w:tab/>
              <w:t>6-3</w:t>
            </w:r>
          </w:hyperlink>
        </w:p>
        <w:p>
          <w:pPr>
            <w:pStyle w:val="TOC2"/>
            <w:rPr>
              <w:sz w:val="24"/>
            </w:rPr>
          </w:pPr>
          <w:hyperlink w:anchor="__RefHeading___Toc489344923">
            <w:r>
              <w:rPr>
                <w:rStyle w:val="IndexLink"/>
              </w:rPr>
              <w:t>6.3.</w:t>
            </w:r>
            <w:r>
              <w:rPr>
                <w:rStyle w:val="IndexLink"/>
                <w:sz w:val="24"/>
              </w:rPr>
              <w:tab/>
            </w:r>
            <w:r>
              <w:rPr>
                <w:rStyle w:val="IndexLink"/>
              </w:rPr>
              <w:t>Responsibilities of ERCOT and Qualified Scheduling Entities</w:t>
              <w:tab/>
              <w:t>6-3</w:t>
            </w:r>
          </w:hyperlink>
        </w:p>
        <w:p>
          <w:pPr>
            <w:pStyle w:val="TOC2"/>
            <w:rPr>
              <w:sz w:val="24"/>
            </w:rPr>
          </w:pPr>
          <w:hyperlink w:anchor="__RefHeading___Toc489344924">
            <w:r>
              <w:rPr>
                <w:rStyle w:val="IndexLink"/>
              </w:rPr>
              <w:t>6.4.</w:t>
            </w:r>
            <w:r>
              <w:rPr>
                <w:rStyle w:val="IndexLink"/>
                <w:sz w:val="24"/>
              </w:rPr>
              <w:tab/>
            </w:r>
            <w:r>
              <w:rPr>
                <w:rStyle w:val="IndexLink"/>
              </w:rPr>
              <w:t>Standards and Determination of the Control Area Requirements for Ancillary Services</w:t>
              <w:tab/>
              <w:t>6-5</w:t>
            </w:r>
          </w:hyperlink>
        </w:p>
        <w:p>
          <w:pPr>
            <w:pStyle w:val="TOC2"/>
            <w:rPr>
              <w:sz w:val="24"/>
            </w:rPr>
          </w:pPr>
          <w:hyperlink w:anchor="__RefHeading___Toc489344925">
            <w:r>
              <w:rPr>
                <w:rStyle w:val="IndexLink"/>
              </w:rPr>
              <w:t>6.5.</w:t>
            </w:r>
            <w:r>
              <w:rPr>
                <w:rStyle w:val="IndexLink"/>
                <w:sz w:val="24"/>
              </w:rPr>
              <w:tab/>
            </w:r>
            <w:r>
              <w:rPr>
                <w:rStyle w:val="IndexLink"/>
              </w:rPr>
              <w:t>Technical Requirements for Providers of Ancillary Services</w:t>
              <w:tab/>
              <w:t>6-7</w:t>
            </w:r>
          </w:hyperlink>
        </w:p>
        <w:p>
          <w:pPr>
            <w:pStyle w:val="TOC2"/>
            <w:rPr>
              <w:sz w:val="24"/>
            </w:rPr>
          </w:pPr>
          <w:hyperlink w:anchor="__RefHeading___Toc489344926">
            <w:r>
              <w:rPr>
                <w:rStyle w:val="IndexLink"/>
              </w:rPr>
              <w:t>6.6.</w:t>
            </w:r>
            <w:r>
              <w:rPr>
                <w:rStyle w:val="IndexLink"/>
                <w:sz w:val="24"/>
              </w:rPr>
              <w:tab/>
            </w:r>
            <w:r>
              <w:rPr>
                <w:rStyle w:val="IndexLink"/>
              </w:rPr>
              <w:t>Selection Methodology</w:t>
              <w:tab/>
              <w:t>6-14</w:t>
            </w:r>
          </w:hyperlink>
        </w:p>
        <w:p>
          <w:pPr>
            <w:pStyle w:val="TOC2"/>
            <w:rPr>
              <w:sz w:val="24"/>
            </w:rPr>
          </w:pPr>
          <w:hyperlink w:anchor="__RefHeading___Toc489344927">
            <w:r>
              <w:rPr>
                <w:rStyle w:val="IndexLink"/>
              </w:rPr>
              <w:t>6.7.</w:t>
            </w:r>
            <w:r>
              <w:rPr>
                <w:rStyle w:val="IndexLink"/>
                <w:sz w:val="24"/>
              </w:rPr>
              <w:tab/>
            </w:r>
            <w:r>
              <w:rPr>
                <w:rStyle w:val="IndexLink"/>
              </w:rPr>
              <w:t>Deployment Policy</w:t>
              <w:tab/>
              <w:t>6-21</w:t>
            </w:r>
          </w:hyperlink>
        </w:p>
        <w:p>
          <w:pPr>
            <w:pStyle w:val="TOC2"/>
            <w:rPr>
              <w:sz w:val="24"/>
            </w:rPr>
          </w:pPr>
          <w:hyperlink w:anchor="__RefHeading___Toc489344928">
            <w:r>
              <w:rPr>
                <w:rStyle w:val="IndexLink"/>
              </w:rPr>
              <w:t>6.8.</w:t>
            </w:r>
            <w:r>
              <w:rPr>
                <w:rStyle w:val="IndexLink"/>
                <w:sz w:val="24"/>
              </w:rPr>
              <w:tab/>
            </w:r>
            <w:r>
              <w:rPr>
                <w:rStyle w:val="IndexLink"/>
              </w:rPr>
              <w:t>Compensation for Services Provided</w:t>
              <w:tab/>
              <w:t>6-26</w:t>
            </w:r>
          </w:hyperlink>
        </w:p>
        <w:p>
          <w:pPr>
            <w:pStyle w:val="TOC2"/>
            <w:rPr>
              <w:sz w:val="24"/>
            </w:rPr>
          </w:pPr>
          <w:hyperlink w:anchor="__RefHeading___Toc489344929">
            <w:r>
              <w:rPr>
                <w:rStyle w:val="IndexLink"/>
              </w:rPr>
              <w:t>6.9.</w:t>
            </w:r>
            <w:r>
              <w:rPr>
                <w:rStyle w:val="IndexLink"/>
                <w:sz w:val="24"/>
              </w:rPr>
              <w:tab/>
            </w:r>
            <w:r>
              <w:rPr>
                <w:rStyle w:val="IndexLink"/>
              </w:rPr>
              <w:t>Settlement Obligations for ERCOT-Provided Ancillary Services</w:t>
              <w:tab/>
              <w:t>6-29</w:t>
            </w:r>
          </w:hyperlink>
        </w:p>
        <w:p>
          <w:pPr>
            <w:pStyle w:val="TOC2"/>
            <w:rPr>
              <w:sz w:val="24"/>
            </w:rPr>
          </w:pPr>
          <w:hyperlink w:anchor="__RefHeading___Toc489344930">
            <w:r>
              <w:rPr>
                <w:rStyle w:val="IndexLink"/>
              </w:rPr>
              <w:t>6.10.</w:t>
            </w:r>
            <w:r>
              <w:rPr>
                <w:rStyle w:val="IndexLink"/>
                <w:sz w:val="24"/>
              </w:rPr>
              <w:tab/>
            </w:r>
            <w:r>
              <w:rPr>
                <w:rStyle w:val="IndexLink"/>
              </w:rPr>
              <w:t>Ancillary Service Certification, Testing and Performance Standards</w:t>
              <w:tab/>
              <w:t>6-33</w:t>
            </w:r>
          </w:hyperlink>
          <w:r>
            <w:rPr>
              <w:rStyle w:val="IndexLink"/>
            </w:rPr>
            <w:fldChar w:fldCharType="end"/>
          </w:r>
        </w:p>
      </w:sdtContent>
    </w:sdt>
    <w:p>
      <w:pPr>
        <w:pStyle w:val="Normal"/>
        <w:numPr>
          <w:ilvl w:val="0"/>
          <w:numId w:val="0"/>
        </w:numPr>
        <w:rPr>
          <w:sz w:val="24"/>
        </w:rPr>
      </w:pPr>
      <w:r>
        <w:rPr>
          <w:sz w:val="24"/>
        </w:rPr>
      </w:r>
    </w:p>
    <w:p>
      <w:pPr>
        <w:sectPr>
          <w:type w:val="continuous"/>
          <w:pgSz w:w="12240" w:h="15840"/>
          <w:pgMar w:left="1440" w:right="1440" w:gutter="0" w:header="720" w:top="1440" w:footer="720" w:bottom="1440"/>
          <w:formProt w:val="false"/>
          <w:textDirection w:val="lrTb"/>
          <w:docGrid w:type="default" w:linePitch="360" w:charSpace="0"/>
        </w:sectPr>
      </w:pPr>
    </w:p>
    <w:p>
      <w:pPr>
        <w:pStyle w:val="Heading1"/>
        <w:numPr>
          <w:ilvl w:val="0"/>
          <w:numId w:val="18"/>
        </w:numPr>
        <w:ind w:hanging="0" w:start="0"/>
        <w:rPr/>
      </w:pPr>
      <w:bookmarkStart w:id="0" w:name="__RefHeading___Toc489344920"/>
      <w:bookmarkEnd w:id="0"/>
      <w:r>
        <w:rPr/>
        <w:t>Ancillary Services</w:t>
      </w:r>
    </w:p>
    <w:p>
      <w:pPr>
        <w:pStyle w:val="Heading2"/>
        <w:numPr>
          <w:ilvl w:val="1"/>
          <w:numId w:val="18"/>
        </w:numPr>
        <w:ind w:hanging="0" w:start="0"/>
        <w:rPr/>
      </w:pPr>
      <w:bookmarkStart w:id="1" w:name="__RefHeading___Toc489344921"/>
      <w:bookmarkEnd w:id="1"/>
      <w:r>
        <w:rPr/>
        <w:t>Ancillary Services Required by ERCOT</w:t>
      </w:r>
    </w:p>
    <w:p>
      <w:pPr>
        <w:pStyle w:val="05textparagraph"/>
        <w:rPr/>
      </w:pPr>
      <w:r>
        <w:rPr/>
        <w:t>ERCOT shall be responsible for developing a secure daily Current Operating Plan (COP) with sufficient Ancillary Services to maintain the security of the ERCOT Transmission System consistent with ERCOT and North American Electric Reliability Council (NERC) criteria. The Ancillary Services required by ERCOT are described below.</w:t>
      </w:r>
    </w:p>
    <w:p>
      <w:pPr>
        <w:pStyle w:val="Heading3"/>
        <w:numPr>
          <w:ilvl w:val="2"/>
          <w:numId w:val="18"/>
        </w:numPr>
        <w:ind w:hanging="0" w:start="0"/>
        <w:rPr/>
      </w:pPr>
      <w:r>
        <w:rPr/>
        <w:t>Balancing Energy Service</w:t>
      </w:r>
    </w:p>
    <w:p>
      <w:pPr>
        <w:pStyle w:val="05textparagraph"/>
        <w:rPr/>
      </w:pPr>
      <w:r>
        <w:rPr>
          <w:b/>
        </w:rPr>
        <w:t>As provided by ERCOT to the Qualified Scheduling Entities (QSEs)</w:t>
      </w:r>
      <w:r>
        <w:rPr/>
        <w:t xml:space="preserve">: Balancing Energy is deployed by ERCOT with the goals that (1) Regulation Service in either direction not be depleted during the interval, and (2) Regulation Service up and down energy is deployed in each Settlement Interval such that the net energy in regulation is minimized.  </w:t>
      </w:r>
    </w:p>
    <w:p>
      <w:pPr>
        <w:pStyle w:val="05textparagraph"/>
        <w:rPr/>
      </w:pPr>
      <w:r>
        <w:rPr>
          <w:b/>
        </w:rPr>
        <w:t>As provided by a QSE to ERCOT</w:t>
      </w:r>
      <w:r>
        <w:rPr/>
        <w:t>: The provision of incremental or decremental energy dispatched by Settlement Interval in Real Time to meet the balancing needs of ERCOT.</w:t>
      </w:r>
    </w:p>
    <w:p>
      <w:pPr>
        <w:pStyle w:val="Heading3"/>
        <w:numPr>
          <w:ilvl w:val="2"/>
          <w:numId w:val="18"/>
        </w:numPr>
        <w:ind w:hanging="0" w:start="0"/>
        <w:rPr/>
      </w:pPr>
      <w:r>
        <w:rPr/>
        <w:t xml:space="preserve">Regulation Service – Down  </w:t>
      </w:r>
    </w:p>
    <w:p>
      <w:pPr>
        <w:pStyle w:val="05textparagraph"/>
        <w:rPr/>
      </w:pPr>
      <w:r>
        <w:rPr>
          <w:b/>
        </w:rPr>
        <w:t>As provided by ERCOT to the QSEs</w:t>
      </w:r>
      <w:r>
        <w:rPr/>
        <w:t xml:space="preserve">: Regulation-down power is deployed in response to an increase change in system frequency to maintain the target system frequency within predetermined limits.  </w:t>
      </w:r>
    </w:p>
    <w:p>
      <w:pPr>
        <w:pStyle w:val="05textparagraph"/>
        <w:rPr/>
      </w:pPr>
      <w:r>
        <w:rPr>
          <w:b/>
        </w:rPr>
        <w:t>As provided by a QSE to ERCOT</w:t>
      </w:r>
      <w:r>
        <w:rPr/>
        <w:t>: The provision of generation capacity from which ERCOT can deploy power for the purpose of continuously balancing generation and Demand within ERCOT Control Area.</w:t>
      </w:r>
    </w:p>
    <w:p>
      <w:pPr>
        <w:pStyle w:val="Heading3"/>
        <w:numPr>
          <w:ilvl w:val="2"/>
          <w:numId w:val="18"/>
        </w:numPr>
        <w:ind w:hanging="0" w:start="0"/>
        <w:rPr/>
      </w:pPr>
      <w:r>
        <w:rPr/>
        <w:t>Regulation Service-Up</w:t>
      </w:r>
    </w:p>
    <w:p>
      <w:pPr>
        <w:pStyle w:val="05textparagraph"/>
        <w:rPr/>
      </w:pPr>
      <w:r>
        <w:rPr>
          <w:b/>
        </w:rPr>
        <w:t>As provided by ERCOT to the QSEs</w:t>
      </w:r>
      <w:r>
        <w:rPr/>
        <w:t xml:space="preserve">: Regulation-up power is deployed in response to a decrease in system frequency to maintain the target system frequency within predetermined limits. </w:t>
      </w:r>
    </w:p>
    <w:p>
      <w:pPr>
        <w:pStyle w:val="05textparagraph"/>
        <w:rPr/>
      </w:pPr>
      <w:r>
        <w:rPr>
          <w:b/>
        </w:rPr>
        <w:t>As provided by a QSE to ERCOT</w:t>
      </w:r>
      <w:r>
        <w:rPr/>
        <w:t>: The provision of generation capacity from which ERCOT can deploy power for the purpose of continuously balancing generation and Demand within ERCOT Control Area.</w:t>
      </w:r>
    </w:p>
    <w:p>
      <w:pPr>
        <w:pStyle w:val="Heading3"/>
        <w:numPr>
          <w:ilvl w:val="2"/>
          <w:numId w:val="18"/>
        </w:numPr>
        <w:ind w:hanging="0" w:start="0"/>
        <w:rPr/>
      </w:pPr>
      <w:r>
        <w:rPr/>
        <w:t>Responsive Reserve Service</w:t>
      </w:r>
    </w:p>
    <w:p>
      <w:pPr>
        <w:pStyle w:val="05textparagraph"/>
        <w:rPr/>
      </w:pPr>
      <w:r>
        <w:rPr>
          <w:b/>
        </w:rPr>
        <w:t>As provided by ERCOT to the QSEs</w:t>
      </w:r>
      <w:r>
        <w:rPr/>
        <w:t>: Operating reserves ERCOT maintains to restore the frequency of the interconnected transmission system within the first few minutes of an event that causes a significant deviation from the standard frequency and reserved resources that are available in the Operating Period in response to loss-of-resource contingencies on the ERCOT Transmission System.</w:t>
      </w:r>
    </w:p>
    <w:p>
      <w:pPr>
        <w:pStyle w:val="05textparagraph"/>
        <w:rPr/>
      </w:pPr>
      <w:r>
        <w:rPr>
          <w:b/>
        </w:rPr>
        <w:t>As provided by a QSE to ERCOT</w:t>
      </w:r>
      <w:r>
        <w:rPr/>
        <w:t xml:space="preserve">: The provision of energy by unloaded generation facilities that are on line, interruptible loads controlled by highset under-frequency relays, or from direct current tie response that stops frequency decay within 15 seconds. </w:t>
      </w:r>
    </w:p>
    <w:p>
      <w:pPr>
        <w:pStyle w:val="Heading3"/>
        <w:numPr>
          <w:ilvl w:val="2"/>
          <w:numId w:val="18"/>
        </w:numPr>
        <w:ind w:hanging="0" w:start="0"/>
        <w:rPr/>
      </w:pPr>
      <w:r>
        <w:rPr/>
        <w:t>Non-Spinning Reserve Service</w:t>
      </w:r>
    </w:p>
    <w:p>
      <w:pPr>
        <w:pStyle w:val="05textparagraph"/>
        <w:rPr/>
      </w:pPr>
      <w:r>
        <w:rPr>
          <w:b/>
        </w:rPr>
        <w:t>As provided by ERCOT to the QSEs</w:t>
      </w:r>
      <w:r>
        <w:rPr/>
        <w:t xml:space="preserve">: The coordinated deployment, by ERCOT, of reserved resources that are available in the Operating Period in response to loss-of-resource contingencies on the ERCOT Transmission System. </w:t>
      </w:r>
    </w:p>
    <w:p>
      <w:pPr>
        <w:pStyle w:val="05textparagraph"/>
        <w:rPr/>
      </w:pPr>
      <w:r>
        <w:rPr>
          <w:b/>
        </w:rPr>
        <w:t>As provided by a QSE to ERCOT</w:t>
      </w:r>
      <w:r>
        <w:rPr/>
        <w:t>: Off-line generation capacity, or reserved capacity from on-line generation, capable of being synchronized and ramped to a specified output level within 30 minutes or loads acting as a resource that are capable of being interrupted within 30 minutes and that are capable of running (or being interrupted) at a specified output level for at least 1 hour.</w:t>
      </w:r>
    </w:p>
    <w:p>
      <w:pPr>
        <w:pStyle w:val="Heading3"/>
        <w:numPr>
          <w:ilvl w:val="2"/>
          <w:numId w:val="18"/>
        </w:numPr>
        <w:ind w:hanging="0" w:start="0"/>
        <w:rPr/>
      </w:pPr>
      <w:r>
        <w:rPr/>
        <w:t>Replacement Reserve Service</w:t>
      </w:r>
    </w:p>
    <w:p>
      <w:pPr>
        <w:pStyle w:val="05textparagraph"/>
        <w:rPr/>
      </w:pPr>
      <w:r>
        <w:rPr>
          <w:b/>
        </w:rPr>
        <w:t>As provided by ERCOT to the QSEs</w:t>
      </w:r>
      <w:r>
        <w:rPr/>
        <w:t>: The instruction, by ERCOT, for the deployment of non-synchronized resources in order to make available additional Balancing Energy Service.</w:t>
      </w:r>
    </w:p>
    <w:p>
      <w:pPr>
        <w:pStyle w:val="05textparagraph"/>
        <w:rPr/>
      </w:pPr>
      <w:r>
        <w:rPr>
          <w:b/>
        </w:rPr>
        <w:t>As provided by a QSE to ERCOT</w:t>
      </w:r>
      <w:r>
        <w:rPr/>
        <w:t>: Generation or loads acting as a resource capable of providing additional Balancing Energy Service to ERCOT when deployed.</w:t>
      </w:r>
    </w:p>
    <w:p>
      <w:pPr>
        <w:pStyle w:val="Heading3"/>
        <w:numPr>
          <w:ilvl w:val="2"/>
          <w:numId w:val="18"/>
        </w:numPr>
        <w:ind w:hanging="0" w:start="0"/>
        <w:rPr/>
      </w:pPr>
      <w:r>
        <w:rPr/>
        <w:t>Voltage Support Service</w:t>
      </w:r>
    </w:p>
    <w:p>
      <w:pPr>
        <w:pStyle w:val="05textparagraph"/>
        <w:rPr/>
      </w:pPr>
      <w:r>
        <w:rPr>
          <w:b/>
        </w:rPr>
        <w:t>As provided by ERCOT to the QSEs</w:t>
      </w:r>
      <w:r>
        <w:rPr/>
        <w:t>: The coordinated scheduling of voltage profiles at generator buses to maintain transmission voltages on the ERCOT Transmission System within mandated quality levels specified in these Protocols and the ERCOT Operating Guides.</w:t>
      </w:r>
    </w:p>
    <w:p>
      <w:pPr>
        <w:pStyle w:val="05textparagraph"/>
        <w:rPr/>
      </w:pPr>
      <w:r>
        <w:rPr>
          <w:b/>
        </w:rPr>
        <w:t>As provided by a QSE to ERCOT</w:t>
      </w:r>
      <w:r>
        <w:rPr/>
        <w:t>: The provision of generation capacity whose power factor and output voltage level can be scheduled by ERCOT to maintain transmission voltages within acceptable limits throughout the ERCOT Transmission System.</w:t>
      </w:r>
    </w:p>
    <w:p>
      <w:pPr>
        <w:pStyle w:val="Heading3"/>
        <w:numPr>
          <w:ilvl w:val="2"/>
          <w:numId w:val="18"/>
        </w:numPr>
        <w:ind w:hanging="0" w:start="0"/>
        <w:rPr/>
      </w:pPr>
      <w:r>
        <w:rPr/>
        <w:t>Black Start Service</w:t>
      </w:r>
    </w:p>
    <w:p>
      <w:pPr>
        <w:pStyle w:val="05textparagraph"/>
        <w:rPr/>
      </w:pPr>
      <w:r>
        <w:rPr>
          <w:b/>
        </w:rPr>
        <w:t>As provided by ERCOT to QSEs</w:t>
      </w:r>
      <w:r>
        <w:rPr/>
        <w:t>: The procurement by ERCOT, and emergency dispatch by ERCOT pursuant to emergency restoration plans, of Generation Resources which are capable of self-starting without support from the ERCOT Transmission System in the event of a blackout, in order to begin restoration of the ERCOT Transmission System to a secure operating state.</w:t>
      </w:r>
    </w:p>
    <w:p>
      <w:pPr>
        <w:pStyle w:val="05textparagraph"/>
        <w:rPr/>
      </w:pPr>
      <w:r>
        <w:rPr>
          <w:b/>
        </w:rPr>
        <w:t>As provided by a Generator or a QSE to ERCOT</w:t>
      </w:r>
      <w:r>
        <w:rPr/>
        <w:t>: The provision of Generation Resources which are capable of self-starting without support from the ERCOT Transmission System in the event of a blackout.</w:t>
      </w:r>
    </w:p>
    <w:p>
      <w:pPr>
        <w:pStyle w:val="Heading3"/>
        <w:numPr>
          <w:ilvl w:val="2"/>
          <w:numId w:val="18"/>
        </w:numPr>
        <w:ind w:hanging="0" w:start="0"/>
        <w:rPr/>
      </w:pPr>
      <w:r>
        <w:rPr/>
        <w:t>Reliability Must-Run Service</w:t>
      </w:r>
    </w:p>
    <w:p>
      <w:pPr>
        <w:pStyle w:val="05textparagraph"/>
        <w:rPr/>
      </w:pPr>
      <w:r>
        <w:rPr>
          <w:b/>
        </w:rPr>
        <w:t>As provided by ERCOT to QSEs</w:t>
      </w:r>
      <w:r>
        <w:rPr/>
        <w:t>: the procurement by ERCOT of contracts for capacity and energy from units which otherwise would not operate and which are necessary to ensure voltage support, stability or management of localized transmission constraints, under first contingency criteria.</w:t>
      </w:r>
    </w:p>
    <w:p>
      <w:pPr>
        <w:pStyle w:val="05textparagraph"/>
        <w:rPr/>
      </w:pPr>
      <w:r>
        <w:rPr>
          <w:b/>
        </w:rPr>
        <w:t>As provided by a Generator to ERCOT</w:t>
      </w:r>
      <w:r>
        <w:rPr/>
        <w:t xml:space="preserve">: The provision of generation capacity and energy resources under Reliability Must-Run (RMR) contract whose operation is directed by ERCOT to ensure voltage support, stability or management of localized transmission constraints, under first contingency criteria, where Market Solutions do not exist. </w:t>
      </w:r>
    </w:p>
    <w:p>
      <w:pPr>
        <w:pStyle w:val="Heading3"/>
        <w:numPr>
          <w:ilvl w:val="2"/>
          <w:numId w:val="18"/>
        </w:numPr>
        <w:ind w:hanging="0" w:start="0"/>
        <w:rPr/>
      </w:pPr>
      <w:r>
        <w:rPr/>
        <w:t>Out-Of-Merit Capacity Service</w:t>
      </w:r>
    </w:p>
    <w:p>
      <w:pPr>
        <w:pStyle w:val="05textparagraph"/>
        <w:rPr/>
      </w:pPr>
      <w:r>
        <w:rPr>
          <w:b/>
        </w:rPr>
        <w:t>As provided by ERCOT to QSEs</w:t>
      </w:r>
      <w:r>
        <w:rPr/>
        <w:t xml:space="preserve">: The provision by ERCOT in the Adjustment Period of out-of-merit-order Replacement Reserve Service from resources that would otherwise not be selected to operate because of their place in the merit order of resources, used by ERCOT to assure </w:t>
      </w:r>
      <w:r>
        <w:rPr>
          <w:lang w:val="es-CO"/>
        </w:rPr>
        <w:t>sufficient Balancing Energy bids are available to solve capacity insufficiency when a Market Solution does not exist</w:t>
      </w:r>
      <w:r>
        <w:rPr/>
        <w:t xml:space="preserve">. </w:t>
      </w:r>
    </w:p>
    <w:p>
      <w:pPr>
        <w:pStyle w:val="05textparagraph"/>
        <w:rPr/>
      </w:pPr>
      <w:r>
        <w:rPr>
          <w:b/>
        </w:rPr>
        <w:t>As provided by a QSE to ERCOT</w:t>
      </w:r>
      <w:r>
        <w:rPr/>
        <w:t>: The provision of</w:t>
      </w:r>
      <w:r>
        <w:rPr>
          <w:i/>
        </w:rPr>
        <w:t xml:space="preserve"> g</w:t>
      </w:r>
      <w:r>
        <w:rPr>
          <w:lang w:val="es-CO"/>
        </w:rPr>
        <w:t>eneration held in reserve, capable of providing additional Balancing Energy Service</w:t>
      </w:r>
      <w:r>
        <w:rPr/>
        <w:t>.</w:t>
      </w:r>
    </w:p>
    <w:p>
      <w:pPr>
        <w:pStyle w:val="Heading3"/>
        <w:numPr>
          <w:ilvl w:val="2"/>
          <w:numId w:val="18"/>
        </w:numPr>
        <w:ind w:hanging="0" w:start="0"/>
        <w:rPr/>
      </w:pPr>
      <w:r>
        <w:rPr/>
        <w:t>Out-Of-Merit Energy Service</w:t>
      </w:r>
    </w:p>
    <w:p>
      <w:pPr>
        <w:pStyle w:val="05textparagraph"/>
        <w:rPr/>
      </w:pPr>
      <w:r>
        <w:rPr>
          <w:b/>
        </w:rPr>
        <w:t>As provided by ERCOT to QSEs</w:t>
      </w:r>
      <w:r>
        <w:rPr/>
        <w:t xml:space="preserve">: The emergency deployment by ERCOT in the Operating Period of energy from resources that may or may not have provided service bids and used by ERCOT to </w:t>
      </w:r>
      <w:r>
        <w:rPr>
          <w:lang w:val="es-CO"/>
        </w:rPr>
        <w:t>provide Balancing Energy Service when no Market Solution exists</w:t>
      </w:r>
      <w:r>
        <w:rPr/>
        <w:t xml:space="preserve">. </w:t>
      </w:r>
    </w:p>
    <w:p>
      <w:pPr>
        <w:pStyle w:val="05textparagraph"/>
        <w:rPr/>
      </w:pPr>
      <w:r>
        <w:rPr>
          <w:b/>
        </w:rPr>
        <w:t>As provided by a QSE to ERCOT</w:t>
      </w:r>
      <w:r>
        <w:rPr/>
        <w:t>: The deployment of energy from a specific resource in emergency operations.</w:t>
      </w:r>
    </w:p>
    <w:p>
      <w:pPr>
        <w:pStyle w:val="Heading2"/>
        <w:numPr>
          <w:ilvl w:val="1"/>
          <w:numId w:val="18"/>
        </w:numPr>
        <w:ind w:hanging="432" w:start="360" w:end="0"/>
        <w:rPr/>
      </w:pPr>
      <w:bookmarkStart w:id="2" w:name="__RefHeading___Toc489344922"/>
      <w:bookmarkEnd w:id="2"/>
      <w:r>
        <w:rPr/>
        <w:t>Providers of Ancillary Services</w:t>
      </w:r>
    </w:p>
    <w:p>
      <w:pPr>
        <w:pStyle w:val="Heading3"/>
        <w:numPr>
          <w:ilvl w:val="2"/>
          <w:numId w:val="18"/>
        </w:numPr>
        <w:ind w:hanging="0" w:start="0"/>
        <w:rPr/>
      </w:pPr>
      <w:r>
        <w:rPr/>
        <w:t xml:space="preserve">Ancillary Services Provided Solely by ERCOT </w:t>
      </w:r>
    </w:p>
    <w:p>
      <w:pPr>
        <w:pStyle w:val="05textparagraph"/>
        <w:rPr/>
      </w:pPr>
      <w:r>
        <w:rPr/>
        <w:t>ERCOT is the sole provider of system-wide Balancing Energy Service; and</w:t>
      </w:r>
      <w:r>
        <w:rPr>
          <w:rStyle w:val="CommentReference"/>
          <w:vanish/>
        </w:rPr>
        <w:t>; and</w:t>
      </w:r>
      <w:r>
        <w:rPr/>
        <w:t xml:space="preserve"> generating resource unit-specific Voltage Support Service (VSS), Black Start Service, Replacement Reserve Service, and RMR, OOMC and OOME Service to QSEs. </w:t>
      </w:r>
    </w:p>
    <w:p>
      <w:pPr>
        <w:pStyle w:val="05textparagraph"/>
        <w:rPr/>
      </w:pPr>
      <w:r>
        <w:rPr/>
        <w:t xml:space="preserve">ERCOT will arrange resources to provide system-wide VSS, Black Start and RMR Service from QSEs. ERCOT will direct resources to provide OOMC or OOME in accordance with OOMC Service and OOME service Protocols. </w:t>
      </w:r>
    </w:p>
    <w:p>
      <w:pPr>
        <w:pStyle w:val="Heading3"/>
        <w:numPr>
          <w:ilvl w:val="2"/>
          <w:numId w:val="18"/>
        </w:numPr>
        <w:ind w:hanging="0" w:start="0"/>
        <w:rPr/>
      </w:pPr>
      <w:r>
        <w:rPr/>
        <w:t>Ancillary Services Provided in Part by ERCOT and in Part by Qualified Scheduling Entities</w:t>
      </w:r>
    </w:p>
    <w:p>
      <w:pPr>
        <w:pStyle w:val="05textparagraph"/>
        <w:rPr/>
      </w:pPr>
      <w:r>
        <w:rPr/>
        <w:t xml:space="preserve">QSEs shall be able, at their discretion, to Self-Arrange the first 38 MW and up to 55 percent of their remaining obligation assigned by ERCOT for each of the following services:  Regulation Up, Regulation Down, Responsive Reserve, and Non-Spinning Reserve. </w:t>
      </w:r>
    </w:p>
    <w:p>
      <w:pPr>
        <w:pStyle w:val="Heading2"/>
        <w:numPr>
          <w:ilvl w:val="1"/>
          <w:numId w:val="18"/>
        </w:numPr>
        <w:ind w:hanging="432" w:start="360" w:end="0"/>
        <w:rPr/>
      </w:pPr>
      <w:bookmarkStart w:id="3" w:name="__RefHeading___Toc489344923"/>
      <w:bookmarkEnd w:id="3"/>
      <w:r>
        <w:rPr/>
        <w:t>Responsibilities of ERCOT and Qualified Scheduling Entities</w:t>
      </w:r>
    </w:p>
    <w:p>
      <w:pPr>
        <w:pStyle w:val="Heading3"/>
        <w:numPr>
          <w:ilvl w:val="2"/>
          <w:numId w:val="18"/>
        </w:numPr>
        <w:ind w:hanging="0" w:start="0"/>
        <w:rPr/>
      </w:pPr>
      <w:r>
        <w:rPr/>
        <w:t>ERCOT Responsibilities</w:t>
      </w:r>
    </w:p>
    <w:p>
      <w:pPr>
        <w:pStyle w:val="05textparagraph"/>
        <w:rPr/>
      </w:pPr>
      <w:r>
        <w:rPr/>
        <w:t>(1)</w:t>
        <w:tab/>
        <w:t xml:space="preserve">ERCOT through its Ancillary Service functions shall develop the Ancillary Service Plan for the ERCOT control area and allocate obligations to individual QSEs.  QSE’s allocation for Ancillary Services will be determined for each hour based on that QSE’s load share ratio computation. </w:t>
      </w:r>
    </w:p>
    <w:p>
      <w:pPr>
        <w:pStyle w:val="05textparagraph"/>
        <w:rPr/>
      </w:pPr>
      <w:r>
        <w:rPr/>
        <w:t>(2)</w:t>
        <w:tab/>
        <w:t xml:space="preserve">ERCOT will procure required Ancillary Services not Self-Arranged by QSEs. </w:t>
      </w:r>
    </w:p>
    <w:p>
      <w:pPr>
        <w:pStyle w:val="05textparagraph"/>
        <w:rPr/>
      </w:pPr>
      <w:r>
        <w:rPr/>
        <w:t>(3)</w:t>
        <w:tab/>
        <w:t>ERCOT only accepts Ancillary Service bids from QSEs.</w:t>
      </w:r>
    </w:p>
    <w:p>
      <w:pPr>
        <w:pStyle w:val="05textparagraph"/>
        <w:rPr/>
      </w:pPr>
      <w:r>
        <w:rPr/>
        <w:t>(4)</w:t>
        <w:tab/>
        <w:t>ERCOT will allow the same capacity to be bid in multiple Ancillary Services markets recognizing that this capacity may only be selected for one service.</w:t>
      </w:r>
    </w:p>
    <w:p>
      <w:pPr>
        <w:pStyle w:val="05textparagraph"/>
        <w:rPr/>
      </w:pPr>
      <w:r>
        <w:rPr/>
        <w:t>(5)</w:t>
        <w:tab/>
        <w:t>ERCOT will ensure provision of Ancillary Services to all ERCOT Transmission System customers in accordance with these Protocols.</w:t>
      </w:r>
    </w:p>
    <w:p>
      <w:pPr>
        <w:pStyle w:val="05textparagraph"/>
        <w:rPr/>
      </w:pPr>
      <w:r>
        <w:rPr/>
        <w:t>(6)</w:t>
        <w:tab/>
        <w:t>ERCOT will not discriminate when obtaining Ancillary Services from those QSEs submitting Ancillary Service bids.  ERCOT will not discriminate between Self-Arranged and ERCOT-procured Ancillary Services when dispatching Ancillary Services.</w:t>
      </w:r>
    </w:p>
    <w:p>
      <w:pPr>
        <w:pStyle w:val="05textparagraph"/>
        <w:rPr/>
      </w:pPr>
      <w:r>
        <w:rPr/>
        <w:t>(7)</w:t>
        <w:tab/>
        <w:t>For each of RGS Up, RGS Down, RRS, and NSRS, ERCOT assures that QSEs limit their Self-Arranged Ancillary Services to no more than:</w:t>
      </w:r>
    </w:p>
    <w:p>
      <w:pPr>
        <w:pStyle w:val="05textparagraph"/>
        <w:numPr>
          <w:ilvl w:val="0"/>
          <w:numId w:val="6"/>
        </w:numPr>
        <w:tabs>
          <w:tab w:val="left" w:pos="720" w:leader="none"/>
        </w:tabs>
        <w:ind w:hanging="360" w:start="720" w:end="0"/>
        <w:rPr/>
      </w:pPr>
      <w:r>
        <w:rPr/>
        <w:t xml:space="preserve">100 percent of their ERCOT-forecast Ancillary Service obligations up to the first 38 MW, and </w:t>
      </w:r>
    </w:p>
    <w:p>
      <w:pPr>
        <w:pStyle w:val="05textparagraph"/>
        <w:numPr>
          <w:ilvl w:val="0"/>
          <w:numId w:val="6"/>
        </w:numPr>
        <w:tabs>
          <w:tab w:val="left" w:pos="720" w:leader="none"/>
        </w:tabs>
        <w:ind w:hanging="360" w:start="720" w:end="0"/>
        <w:rPr/>
      </w:pPr>
      <w:r>
        <w:rPr/>
        <w:t xml:space="preserve">55 percent of their ERCOT forecast Ancillary Service obligations beyond the first 38 MW obligation for each of these Ancillary Services. </w:t>
      </w:r>
    </w:p>
    <w:p>
      <w:pPr>
        <w:pStyle w:val="05textparagraph"/>
        <w:rPr/>
      </w:pPr>
      <w:r>
        <w:rPr/>
        <w:t>(8)</w:t>
        <w:tab/>
        <w:t>Beyond Self-Arranged AS resources, ERCOT shall procure any additional resources it requires during the Day-Ahead Scheduling Process, the Adjustment Period Process, or the Operating Period; except for resources capable of providing VSS, Reliability Must-Run Service and Black Start Service, which ERCOT may procure through longer-term contracts or agreements.</w:t>
      </w:r>
    </w:p>
    <w:p>
      <w:pPr>
        <w:pStyle w:val="05textparagraph"/>
        <w:rPr/>
      </w:pPr>
      <w:r>
        <w:rPr/>
        <w:t>(9)</w:t>
        <w:tab/>
        <w:t xml:space="preserve">Following submission of QSE Self-Arranged schedules, ERCOT will identify the remaining Ancillary Services that must be acquired in order to complete ERCOT’s Day-Ahead Ancillary Services Plan. Regulation Up, Regulation Down, Responsive, and Non-Spinning services will be procured by ERCOT at the end of the Day-Ahead Scheduling Process. </w:t>
      </w:r>
    </w:p>
    <w:p>
      <w:pPr>
        <w:pStyle w:val="05textparagraph"/>
        <w:numPr>
          <w:ilvl w:val="0"/>
          <w:numId w:val="31"/>
        </w:numPr>
        <w:tabs>
          <w:tab w:val="clear" w:pos="720"/>
        </w:tabs>
        <w:ind w:hanging="0" w:start="0" w:end="0"/>
        <w:rPr/>
      </w:pPr>
      <w:r>
        <w:rPr/>
        <w:t xml:space="preserve">ERCOT will not have an interest in profiting financially from the market. ERCOT will not take actions with Ancillary Services with the intent to influence, set or control market prices.  </w:t>
      </w:r>
    </w:p>
    <w:p>
      <w:pPr>
        <w:pStyle w:val="05textparagraph"/>
        <w:numPr>
          <w:ilvl w:val="0"/>
          <w:numId w:val="24"/>
        </w:numPr>
        <w:tabs>
          <w:tab w:val="clear" w:pos="720"/>
        </w:tabs>
        <w:ind w:hanging="0" w:start="0" w:end="0"/>
        <w:rPr/>
      </w:pPr>
      <w:r>
        <w:rPr/>
        <w:t>ERCOT will ensure that market clearing prices are posted on ERCOT’s web site in a timely manner as stated in these Protocols. ERCOT will monitor market clearing prices for errors and will “flag” questionable prices before posting as being subject to further review and change if there are conditions that cause the price to be questionable.</w:t>
      </w:r>
    </w:p>
    <w:p>
      <w:pPr>
        <w:pStyle w:val="05textparagraph"/>
        <w:numPr>
          <w:ilvl w:val="0"/>
          <w:numId w:val="24"/>
        </w:numPr>
        <w:tabs>
          <w:tab w:val="clear" w:pos="720"/>
          <w:tab w:val="left" w:pos="0" w:leader="none"/>
        </w:tabs>
        <w:ind w:hanging="0" w:start="0" w:end="0"/>
        <w:rPr/>
      </w:pPr>
      <w:r>
        <w:rPr/>
        <w:t>ERCOT will, through procurement processes specified in these Protocols, procure Ancillary Services as required and charge QSEs for those Ancillary Services in accordance with these Protocols.</w:t>
      </w:r>
    </w:p>
    <w:p>
      <w:pPr>
        <w:pStyle w:val="05textparagraph"/>
        <w:numPr>
          <w:ilvl w:val="0"/>
          <w:numId w:val="24"/>
        </w:numPr>
        <w:tabs>
          <w:tab w:val="clear" w:pos="720"/>
          <w:tab w:val="left" w:pos="0" w:leader="none"/>
        </w:tabs>
        <w:ind w:hanging="0" w:start="0" w:end="0"/>
        <w:rPr/>
      </w:pPr>
      <w:r>
        <w:rPr/>
        <w:t xml:space="preserve">ERCOT will ensure ERCOT Transmission System reliability and resource adequacy but will afford the market a reasonable opportunity to supply reliability solutions. </w:t>
      </w:r>
    </w:p>
    <w:p>
      <w:pPr>
        <w:pStyle w:val="05textparagraph"/>
        <w:numPr>
          <w:ilvl w:val="0"/>
          <w:numId w:val="24"/>
        </w:numPr>
        <w:tabs>
          <w:tab w:val="clear" w:pos="720"/>
          <w:tab w:val="left" w:pos="0" w:leader="none"/>
        </w:tabs>
        <w:ind w:hanging="0" w:start="0" w:end="0"/>
        <w:rPr/>
      </w:pPr>
      <w:r>
        <w:rPr/>
        <w:t>ERCOT will not substitute one type of Ancillary Service for another.</w:t>
      </w:r>
    </w:p>
    <w:p>
      <w:pPr>
        <w:pStyle w:val="05textparagraph"/>
        <w:numPr>
          <w:ilvl w:val="0"/>
          <w:numId w:val="24"/>
        </w:numPr>
        <w:tabs>
          <w:tab w:val="clear" w:pos="720"/>
          <w:tab w:val="left" w:pos="0" w:leader="none"/>
        </w:tabs>
        <w:ind w:hanging="0" w:start="0" w:end="0"/>
        <w:rPr/>
      </w:pPr>
      <w:r>
        <w:rPr/>
        <w:t xml:space="preserve"> </w:t>
      </w:r>
      <w:r>
        <w:rPr/>
        <w:t xml:space="preserve">ERCOT shall strive to use Market Solutions to manage Operational Congestion prior to using OOMC or RMR.  </w:t>
      </w:r>
    </w:p>
    <w:p>
      <w:pPr>
        <w:pStyle w:val="05textparagraph"/>
        <w:numPr>
          <w:ilvl w:val="0"/>
          <w:numId w:val="24"/>
        </w:numPr>
        <w:tabs>
          <w:tab w:val="clear" w:pos="720"/>
          <w:tab w:val="left" w:pos="0" w:leader="none"/>
        </w:tabs>
        <w:ind w:hanging="0" w:start="0" w:end="0"/>
        <w:rPr/>
      </w:pPr>
      <w:r>
        <w:rPr/>
        <w:t>ERCOT will make every effort to minimize the use of OOMC Replacement Reserve bids or contracted RMR facilities.</w:t>
      </w:r>
    </w:p>
    <w:p>
      <w:pPr>
        <w:pStyle w:val="05textparagraph"/>
        <w:numPr>
          <w:ilvl w:val="0"/>
          <w:numId w:val="24"/>
        </w:numPr>
        <w:tabs>
          <w:tab w:val="clear" w:pos="720"/>
          <w:tab w:val="left" w:pos="0" w:leader="none"/>
        </w:tabs>
        <w:ind w:hanging="0" w:start="0" w:end="0"/>
        <w:rPr/>
      </w:pPr>
      <w:r>
        <w:rPr/>
        <w:t>ERCOT will provide timely information to those units providing OOMC and RMR services as to the specific use of each unit dispatched.</w:t>
      </w:r>
    </w:p>
    <w:p>
      <w:pPr>
        <w:pStyle w:val="Heading3"/>
        <w:numPr>
          <w:ilvl w:val="2"/>
          <w:numId w:val="18"/>
        </w:numPr>
        <w:ind w:hanging="0" w:start="0"/>
        <w:rPr/>
      </w:pPr>
      <w:r>
        <w:rPr/>
        <w:t>Qualified Scheduling Entity Responsibilities</w:t>
      </w:r>
    </w:p>
    <w:p>
      <w:pPr>
        <w:pStyle w:val="05textparagraph"/>
        <w:rPr/>
      </w:pPr>
      <w:r>
        <w:rPr/>
        <w:t>(1)</w:t>
        <w:tab/>
        <w:t>Unless contracted otherwise, and with the exception of Balancing Energy decremental bids as described in Sections 4.4.6 and 4.5.3, owners of AS resources are not required to provide those resources or to submit bids to ERCOT, except to use reasonable efforts to provide AS in accordance with applicable emergency procedures.</w:t>
      </w:r>
    </w:p>
    <w:p>
      <w:pPr>
        <w:pStyle w:val="05textparagraph"/>
        <w:rPr/>
      </w:pPr>
      <w:r>
        <w:rPr/>
        <w:t>(2)</w:t>
        <w:tab/>
        <w:t>AS providers shall provide and deploy, as directed by ERCOT, the AS that they have agreed to provide.</w:t>
      </w:r>
    </w:p>
    <w:p>
      <w:pPr>
        <w:pStyle w:val="16listlevel1"/>
        <w:numPr>
          <w:ilvl w:val="0"/>
          <w:numId w:val="0"/>
        </w:numPr>
        <w:ind w:hanging="720" w:start="720" w:end="0"/>
        <w:rPr/>
      </w:pPr>
      <w:r>
        <w:rPr/>
        <w:t>(3)</w:t>
        <w:tab/>
        <w:t>QSEs may specify Self-Arranged Ancillary Services in accordance with the Day-Ahead Scheduling Protocol as described in Section 4.4.</w:t>
      </w:r>
    </w:p>
    <w:p>
      <w:pPr>
        <w:pStyle w:val="Heading2"/>
        <w:numPr>
          <w:ilvl w:val="1"/>
          <w:numId w:val="18"/>
        </w:numPr>
        <w:ind w:hanging="432" w:start="360" w:end="0"/>
        <w:rPr/>
      </w:pPr>
      <w:bookmarkStart w:id="4" w:name="__RefHeading___Toc489344924"/>
      <w:bookmarkEnd w:id="4"/>
      <w:r>
        <w:rPr/>
        <w:t>Standards and Determination of the Control Area Requirements for Ancillary Services</w:t>
      </w:r>
    </w:p>
    <w:p>
      <w:pPr>
        <w:pStyle w:val="Heading3"/>
        <w:numPr>
          <w:ilvl w:val="2"/>
          <w:numId w:val="18"/>
        </w:numPr>
        <w:ind w:hanging="0" w:start="0"/>
        <w:rPr/>
      </w:pPr>
      <w:r>
        <w:rPr/>
        <w:t xml:space="preserve"> </w:t>
      </w:r>
      <w:r>
        <w:rPr/>
        <w:t xml:space="preserve">Standards for Determining Ancillary Services Quantities </w:t>
      </w:r>
    </w:p>
    <w:p>
      <w:pPr>
        <w:pStyle w:val="05textparagraph"/>
        <w:rPr/>
      </w:pPr>
      <w:r>
        <w:rPr/>
        <w:t>(1)</w:t>
        <w:tab/>
        <w:t xml:space="preserve">ERCOT shall comply with the requirements for determination of Ancillary Service quantities as specified in these Protocols and the ERCOT Operating Guides. </w:t>
      </w:r>
    </w:p>
    <w:p>
      <w:pPr>
        <w:pStyle w:val="05textparagraph"/>
        <w:rPr/>
      </w:pPr>
      <w:r>
        <w:rPr/>
        <w:t>(2)</w:t>
        <w:tab/>
        <w:t>ERCOT shall, at least annually, determine and recommend to ERCOT, with supporting data, the methodology for determining the minimum quantity requirements for each Ancillary Service needed for reliability.</w:t>
      </w:r>
    </w:p>
    <w:p>
      <w:pPr>
        <w:pStyle w:val="05textparagraph"/>
        <w:rPr/>
      </w:pPr>
      <w:r>
        <w:rPr/>
        <w:t>(3)</w:t>
        <w:tab/>
        <w:t>ERCOT shall review and approve ERCOT's recommended methodology for determining the minimum Ancillary Service requirements.</w:t>
      </w:r>
    </w:p>
    <w:p>
      <w:pPr>
        <w:pStyle w:val="05textparagraph"/>
        <w:rPr/>
      </w:pPr>
      <w:r>
        <w:rPr/>
        <w:t>(4)</w:t>
        <w:tab/>
        <w:t>Once an Ancillary Services Plan for a specified day has been posted by ERCOT, should ERCOT determine a need for additional Ancillary Service resources pursuant to ERCOT Guidelines, ERCOT will inform the market of its intent to procure additional Ancillary Service resources in accordance with the Scheduling Protocol in Section 4.5.6.  ERCOT will post the reliability reason for the increase in service requirements.</w:t>
      </w:r>
    </w:p>
    <w:p>
      <w:pPr>
        <w:pStyle w:val="05textparagraph"/>
        <w:rPr/>
      </w:pPr>
      <w:r>
        <w:rPr/>
        <w:t>(5)</w:t>
        <w:tab/>
        <w:t>Once specified by ERCOT for an interval, Ancillary Service quantity requirements may not be decreased.</w:t>
      </w:r>
    </w:p>
    <w:p>
      <w:pPr>
        <w:pStyle w:val="05textparagraph"/>
        <w:rPr/>
      </w:pPr>
      <w:r>
        <w:rPr/>
        <w:t>(6)</w:t>
        <w:tab/>
        <w:t>ERCOT shall ensure that sufficient capacity is on line, in appropriate locations, and available to ERCOT to meet the potential needs of the ERCOT Transmission System.</w:t>
      </w:r>
    </w:p>
    <w:p>
      <w:pPr>
        <w:pStyle w:val="05textparagraph"/>
        <w:rPr/>
      </w:pPr>
      <w:r>
        <w:rPr/>
        <w:t>(7)</w:t>
        <w:tab/>
        <w:t>ERCOT shall ensure sufficient capacity is available to automatically control frequency to meet NERC standards.</w:t>
      </w:r>
    </w:p>
    <w:p>
      <w:pPr>
        <w:pStyle w:val="16listlevel1"/>
        <w:numPr>
          <w:ilvl w:val="0"/>
          <w:numId w:val="0"/>
        </w:numPr>
        <w:ind w:hanging="0" w:start="0"/>
        <w:rPr/>
      </w:pPr>
      <w:r>
        <w:rPr/>
        <w:t>(8)</w:t>
        <w:tab/>
        <w:t>ERCOT will post Engineering studies representing specific Ancillary Service requirements on OASIS.</w:t>
      </w:r>
    </w:p>
    <w:p>
      <w:pPr>
        <w:pStyle w:val="Heading3"/>
        <w:numPr>
          <w:ilvl w:val="2"/>
          <w:numId w:val="18"/>
        </w:numPr>
        <w:ind w:hanging="0" w:start="0"/>
        <w:rPr/>
      </w:pPr>
      <w:r>
        <w:rPr/>
        <w:t>Determination of ERCOT Control Area Requirements</w:t>
      </w:r>
    </w:p>
    <w:p>
      <w:pPr>
        <w:pStyle w:val="05textparagraph"/>
        <w:rPr/>
      </w:pPr>
      <w:r>
        <w:rPr/>
        <w:t>By the 20</w:t>
      </w:r>
      <w:r>
        <w:rPr>
          <w:vertAlign w:val="superscript"/>
        </w:rPr>
        <w:t>th</w:t>
      </w:r>
      <w:r>
        <w:rPr/>
        <w:t xml:space="preserve"> day of the current month, ERCOT will post a forecast of minimum Ancillary Services quantity requirements for the next calendar month.</w:t>
      </w:r>
    </w:p>
    <w:p>
      <w:pPr>
        <w:pStyle w:val="05textparagraph"/>
        <w:rPr/>
      </w:pPr>
      <w:r>
        <w:rPr/>
        <w:t>Prior to 0600 of the Day Ahead ERCOT will use the Day-Ahead load forecast and will develop an Ancillary Services Plan that identifies the amount of Ancillary Services necessary for each hour of the next day. The amount of Ancillary Services required may vary depending on system conditions from hour to hour.</w:t>
      </w:r>
    </w:p>
    <w:p>
      <w:pPr>
        <w:pStyle w:val="05textparagraph"/>
        <w:rPr/>
      </w:pPr>
      <w:r>
        <w:rPr/>
        <w:t xml:space="preserve">By 0600 of the Day Ahead ERCOT will post a system and zonal load forecast for the next 7 days, by hour; and, using the messaging exchange system, will notify each QSE of its allocated share of Ancillary Services for each hour of the next day and receive acknowledgement from each QSE.  ERCOT will make available to Market Participants any ERCOT area load forecasts used in the determination of its system and zonal forecasts. </w:t>
      </w:r>
    </w:p>
    <w:p>
      <w:pPr>
        <w:pStyle w:val="05textparagraph"/>
        <w:rPr/>
      </w:pPr>
      <w:r>
        <w:rPr/>
        <w:t xml:space="preserve">ERCOT will determine the total required amount of each Ancillary Service using the ERCOT Operating Guides and the following: </w:t>
      </w:r>
    </w:p>
    <w:p>
      <w:pPr>
        <w:pStyle w:val="05textparagraph"/>
        <w:rPr/>
      </w:pPr>
      <w:r>
        <w:rPr/>
        <w:t>(1)</w:t>
        <w:tab/>
        <w:t xml:space="preserve">Balancing Energy Service: ERCOT will estimate Balancing Energy needs based on the actual load, the difference in forecasted loads and loads reported in bilateral schedules, deployed Regulation Service, and forecasted Congestion. </w:t>
      </w:r>
    </w:p>
    <w:p>
      <w:pPr>
        <w:pStyle w:val="05textparagraph"/>
        <w:rPr/>
      </w:pPr>
      <w:r>
        <w:rPr/>
        <w:t>(2)</w:t>
        <w:tab/>
        <w:t>Regulation Service: ERCOT will use its operational judgment and experience to determine the quantity of Regulation-Up and Regulation-Down procured. The quantity of Regulation-Up may differ from the quantity of Regulation-Down in any particular hour.</w:t>
      </w:r>
    </w:p>
    <w:p>
      <w:pPr>
        <w:pStyle w:val="05textparagraph"/>
        <w:rPr/>
      </w:pPr>
      <w:r>
        <w:rPr/>
        <w:t>(3)</w:t>
        <w:tab/>
        <w:t>Responsive Reserve Service: The current requirement for Responsive Reserves is specified in the ERCOT Operating Guides.  Using ERCOT-approved procedures ERCOT may increase the quantity requirement based on its judgment of reliability conditions.</w:t>
      </w:r>
    </w:p>
    <w:p>
      <w:pPr>
        <w:pStyle w:val="05textparagraph"/>
        <w:rPr/>
      </w:pPr>
      <w:r>
        <w:rPr/>
        <w:t>(4)</w:t>
        <w:tab/>
        <w:t xml:space="preserve">Non-Spinning Reserve Service: ERCOT will use its operational judgment and experience to determine the quantity of Non-Spinning Reserves procured. </w:t>
      </w:r>
    </w:p>
    <w:p>
      <w:pPr>
        <w:pStyle w:val="05textparagraph"/>
        <w:rPr/>
      </w:pPr>
      <w:r>
        <w:rPr/>
        <w:t>(5)</w:t>
        <w:tab/>
        <w:t>Replacement Reserve Service:  Replacement Reserves are procured from generating units planned to be off-line and load acting as a resource that are available for interruption during the period of requirement.  Energy is deployed from these procured resources by requiring them to bid into the Balancing Energy market. ERCOT will consider the generating capacity on line, based on Resource  Plans, in its determination of CSC and Operational Congestion requirements.  ERCOT will evaluate the need for Replacement Reserves necessary to correct for ERCOT total capacity insufficiency or CSC Congestion and Operational Congestion. ERCOT shall determine the amount of RPRS to provide sufficient capacity in appropriate locations to insure ERCOT transmission security criteria as specified in the ERCOT Operating Guides are met given ERCOT forecasted load conditions as posted to all Market Participants and TDSPs. .</w:t>
      </w:r>
    </w:p>
    <w:p>
      <w:pPr>
        <w:pStyle w:val="05textparagraph"/>
        <w:rPr/>
      </w:pPr>
      <w:r>
        <w:rPr/>
        <w:t>(6)</w:t>
        <w:tab/>
        <w:t>Voltage Support:  ERCOT shall conduct studies to determine the normally desired voltage setpoint for all generation busses in the ERCOT Transmission System and shall post all setpoints on its web site.  ERCOT may temporarily modify its requirements based on current system conditions. ERCOT shall determine the amount of Voltage Support needed to provide sufficient reactive capacity in appropriate locations to insure ERCOT transmission security criteria as specified in the ERCOT Operating Guides are met.</w:t>
      </w:r>
    </w:p>
    <w:p>
      <w:pPr>
        <w:pStyle w:val="16listlevel1"/>
        <w:numPr>
          <w:ilvl w:val="0"/>
          <w:numId w:val="0"/>
        </w:numPr>
        <w:ind w:hanging="0" w:start="0"/>
        <w:rPr/>
      </w:pPr>
      <w:r>
        <w:rPr/>
        <w:t>(7)</w:t>
        <w:tab/>
        <w:t>Black Start Service: ERCOT shall periodically determine and review the location and number of Black Start Units required as well as special transmission needs required. ERCOT and providers of this service shall meet the requirements specified in proposed NERC Policy 10, once finalized.</w:t>
      </w:r>
    </w:p>
    <w:p>
      <w:pPr>
        <w:pStyle w:val="Heading2"/>
        <w:numPr>
          <w:ilvl w:val="1"/>
          <w:numId w:val="18"/>
        </w:numPr>
        <w:ind w:hanging="432" w:start="360" w:end="0"/>
        <w:rPr/>
      </w:pPr>
      <w:bookmarkStart w:id="5" w:name="__RefHeading___Toc489344925"/>
      <w:bookmarkEnd w:id="5"/>
      <w:r>
        <w:rPr/>
        <w:t>Technical Requirements for Providers of Ancillary Services</w:t>
      </w:r>
    </w:p>
    <w:p>
      <w:pPr>
        <w:pStyle w:val="05textparagraph"/>
        <w:rPr/>
      </w:pPr>
      <w:r>
        <w:rPr/>
        <w:t>Providers of Ancillary Services shall meet the general requirements specified in 6.5.1 as well as the requirements of the specific Ancillary Service being provided, as described in Sections 6.5.2 through 6.5.10.</w:t>
      </w:r>
    </w:p>
    <w:p>
      <w:pPr>
        <w:pStyle w:val="Heading3"/>
        <w:numPr>
          <w:ilvl w:val="2"/>
          <w:numId w:val="18"/>
        </w:numPr>
        <w:ind w:hanging="0" w:start="0"/>
        <w:rPr/>
      </w:pPr>
      <w:r>
        <w:rPr/>
        <w:t>General Technical Requirements</w:t>
      </w:r>
    </w:p>
    <w:p>
      <w:pPr>
        <w:pStyle w:val="05textparagraph"/>
        <w:rPr/>
      </w:pPr>
      <w:r>
        <w:rPr/>
        <w:t xml:space="preserve">Providers of Ancillary Services shall meet the following general requirements. </w:t>
      </w:r>
    </w:p>
    <w:p>
      <w:pPr>
        <w:pStyle w:val="Heading4"/>
        <w:numPr>
          <w:ilvl w:val="3"/>
          <w:numId w:val="18"/>
        </w:numPr>
        <w:ind w:hanging="0" w:start="0"/>
        <w:rPr/>
      </w:pPr>
      <w:r>
        <w:rPr/>
        <w:t xml:space="preserve">Requirement for Operating Period Data for System Reliability and Ancillary Service Provision </w:t>
      </w:r>
    </w:p>
    <w:p>
      <w:pPr>
        <w:pStyle w:val="05textparagraph"/>
        <w:rPr/>
      </w:pPr>
      <w:r>
        <w:rPr/>
        <w:t>Operating Period data will be used by ERCOT to monitor the Real Time reliability of the ERCOT transmission system, and will be used in network analysis software to predict the short-time reliability of the ERCOT transmission system. TDSPs may obtain such Operating Period data from ERCOT or from QSEs at the TDSPs’ expense.</w:t>
      </w:r>
    </w:p>
    <w:p>
      <w:pPr>
        <w:pStyle w:val="05textparagraph"/>
        <w:rPr/>
      </w:pPr>
      <w:r>
        <w:rPr/>
        <w:t>(1)</w:t>
        <w:tab/>
        <w:t>A QSE representing a Power Generation Company (PGC) that has generation connected to a TDSP shall provide the following Operating Period data to ERCOT for each individual generating unit at a plant location and ERCOT will make the data available to the PGC’s host TDSP:</w:t>
      </w:r>
    </w:p>
    <w:p>
      <w:pPr>
        <w:pStyle w:val="06notes"/>
        <w:rPr/>
      </w:pPr>
      <w:r>
        <w:rPr/>
        <w:t>NOTE: Need to determine whether this information should also be made available by ERCOT to other TDSPs.</w:t>
      </w:r>
    </w:p>
    <w:p>
      <w:pPr>
        <w:pStyle w:val="16listlevel1"/>
        <w:numPr>
          <w:ilvl w:val="1"/>
          <w:numId w:val="35"/>
        </w:numPr>
        <w:rPr/>
      </w:pPr>
      <w:r>
        <w:rPr/>
        <w:t>Gross or net Real Power</w:t>
      </w:r>
    </w:p>
    <w:p>
      <w:pPr>
        <w:pStyle w:val="16listlevel1"/>
        <w:numPr>
          <w:ilvl w:val="1"/>
          <w:numId w:val="35"/>
        </w:numPr>
        <w:rPr/>
      </w:pPr>
      <w:r>
        <w:rPr/>
        <w:t>Gross or net Reactive Power</w:t>
      </w:r>
    </w:p>
    <w:p>
      <w:pPr>
        <w:pStyle w:val="16listlevel1"/>
        <w:numPr>
          <w:ilvl w:val="1"/>
          <w:numId w:val="35"/>
        </w:numPr>
        <w:rPr/>
      </w:pPr>
      <w:r>
        <w:rPr/>
        <w:t>Status of switching devices in the plant switchyard affecting flows on the transmission system</w:t>
      </w:r>
    </w:p>
    <w:p>
      <w:pPr>
        <w:pStyle w:val="16listlevel1"/>
        <w:numPr>
          <w:ilvl w:val="1"/>
          <w:numId w:val="35"/>
        </w:numPr>
        <w:rPr/>
      </w:pPr>
      <w:r>
        <w:rPr/>
        <w:t>Frequency Bias of Portfolio generation under QSE operation;</w:t>
      </w:r>
    </w:p>
    <w:p>
      <w:pPr>
        <w:pStyle w:val="16listlevel1"/>
        <w:numPr>
          <w:ilvl w:val="1"/>
          <w:numId w:val="35"/>
        </w:numPr>
        <w:rPr/>
      </w:pPr>
      <w:r>
        <w:rPr/>
        <w:t>Any data mutually agreed by ERCOT and the QSE to adequately manage system reliability;</w:t>
      </w:r>
    </w:p>
    <w:p>
      <w:pPr>
        <w:pStyle w:val="16listlevel1"/>
        <w:numPr>
          <w:ilvl w:val="1"/>
          <w:numId w:val="35"/>
        </w:numPr>
        <w:rPr/>
      </w:pPr>
      <w:r>
        <w:rPr/>
        <w:t>Generator breaker status;</w:t>
      </w:r>
    </w:p>
    <w:p>
      <w:pPr>
        <w:pStyle w:val="16listlevel1"/>
        <w:numPr>
          <w:ilvl w:val="1"/>
          <w:numId w:val="35"/>
        </w:numPr>
        <w:rPr/>
      </w:pPr>
      <w:r>
        <w:rPr/>
        <w:t>High Operating Limit;</w:t>
      </w:r>
    </w:p>
    <w:p>
      <w:pPr>
        <w:pStyle w:val="16listlevel1"/>
        <w:numPr>
          <w:ilvl w:val="1"/>
          <w:numId w:val="35"/>
        </w:numPr>
        <w:rPr/>
      </w:pPr>
      <w:r>
        <w:rPr/>
        <w:t>Low Operating Limit;</w:t>
      </w:r>
    </w:p>
    <w:p>
      <w:pPr>
        <w:pStyle w:val="05textparagraph"/>
        <w:rPr/>
      </w:pPr>
      <w:r>
        <w:rPr/>
        <w:t>(2)</w:t>
        <w:tab/>
        <w:t xml:space="preserve">Any QSE providing Responsive Reserve and/or Regulation must provide for communications equipment to receive telemetered control deployments of service energy from ERCOT. </w:t>
      </w:r>
    </w:p>
    <w:p>
      <w:pPr>
        <w:pStyle w:val="05textparagraph"/>
        <w:rPr/>
      </w:pPr>
      <w:r>
        <w:rPr/>
        <w:t>(3)</w:t>
        <w:tab/>
        <w:t xml:space="preserve">Any QSE providing Regulation Service must provide appropriate feedback signals to represent the control actions allocated to the QSEs generation. </w:t>
      </w:r>
    </w:p>
    <w:p>
      <w:pPr>
        <w:pStyle w:val="05textparagraph"/>
        <w:rPr/>
      </w:pPr>
      <w:r>
        <w:rPr/>
        <w:t>(4)</w:t>
        <w:tab/>
        <w:t>Any QSE that represents a provider of an Ancillary Service using load as a resource shall provide separate telemetry of the real power consumption of each load providing service and the status of the breaker controlling that load. If load is used as a Responsive Reserve resource, the status of the high-set underfrequency relay will also be telemetered.</w:t>
      </w:r>
    </w:p>
    <w:p>
      <w:pPr>
        <w:pStyle w:val="05textparagraph"/>
        <w:rPr/>
      </w:pPr>
      <w:r>
        <w:rPr/>
        <w:t>(5)</w:t>
        <w:tab/>
        <w:t>Equipment used to provide the Operating Period data shall be the responsibility of the QSE. The QSE has responsibility for the communication to ERCOT.</w:t>
      </w:r>
    </w:p>
    <w:p>
      <w:pPr>
        <w:pStyle w:val="05textparagraph"/>
        <w:rPr/>
      </w:pPr>
      <w:r>
        <w:rPr/>
        <w:t>(6)</w:t>
        <w:tab/>
        <w:t>Real Time data for reliability purposes should be accurate to 3%. This telemetry may be provided from relaying accuracy instrumentation transformers.</w:t>
      </w:r>
    </w:p>
    <w:p>
      <w:pPr>
        <w:pStyle w:val="Heading3"/>
        <w:numPr>
          <w:ilvl w:val="2"/>
          <w:numId w:val="18"/>
        </w:numPr>
        <w:ind w:hanging="0" w:start="0"/>
        <w:rPr/>
      </w:pPr>
      <w:r>
        <w:rPr/>
        <w:t>Balancing Energy Service</w:t>
      </w:r>
    </w:p>
    <w:p>
      <w:pPr>
        <w:pStyle w:val="05textparagraph"/>
        <w:rPr/>
      </w:pPr>
      <w:r>
        <w:rPr/>
        <w:t xml:space="preserve">The Balancing Energy bids shall consist of Balancing Energy Up and Balancing Energy Down bids. All Balancing Energy Service provider bids shall become an obligation at the close of the Adjustment Period, however, but Balancing Energy Service provider bids may be withdrawn at any time prior to the close of the Adjustment  Period. </w:t>
      </w:r>
    </w:p>
    <w:p>
      <w:pPr>
        <w:pStyle w:val="05textparagraph"/>
        <w:numPr>
          <w:ilvl w:val="0"/>
          <w:numId w:val="17"/>
        </w:numPr>
        <w:tabs>
          <w:tab w:val="clear" w:pos="720"/>
          <w:tab w:val="left" w:pos="0" w:leader="none"/>
        </w:tabs>
        <w:ind w:hanging="0" w:start="0" w:end="0"/>
        <w:rPr/>
      </w:pPr>
      <w:r>
        <w:rPr/>
        <w:t>Balancing Energy Service bids must be bid by zone, and must specify a deployment ramp rate.</w:t>
      </w:r>
    </w:p>
    <w:p>
      <w:pPr>
        <w:pStyle w:val="05textparagraph"/>
        <w:numPr>
          <w:ilvl w:val="0"/>
          <w:numId w:val="35"/>
        </w:numPr>
        <w:ind w:hanging="0" w:start="0" w:end="0"/>
        <w:rPr/>
      </w:pPr>
      <w:r>
        <w:rPr/>
        <w:t xml:space="preserve">QSEs shall provide Balancing Energy Down bids at the close of the Adjustment Period equal to ERCOT posted percentage at 0600 of the Day Ahead according to the Scheduling Protocols Section 4.4.6 and 4.5.3. </w:t>
      </w:r>
    </w:p>
    <w:p>
      <w:pPr>
        <w:pStyle w:val="05textparagraph"/>
        <w:numPr>
          <w:ilvl w:val="0"/>
          <w:numId w:val="35"/>
        </w:numPr>
        <w:ind w:hanging="0" w:start="0" w:end="0"/>
        <w:rPr/>
      </w:pPr>
      <w:r>
        <w:rPr/>
        <w:t>ERCOT will deploy and recall Balancing Energy Service such that Regulation Service Up energy and Regulation Service Down energy is provided in each settlement period such that net regulation energy is minimized.</w:t>
      </w:r>
    </w:p>
    <w:p>
      <w:pPr>
        <w:pStyle w:val="05textparagraph"/>
        <w:numPr>
          <w:ilvl w:val="0"/>
          <w:numId w:val="35"/>
        </w:numPr>
        <w:tabs>
          <w:tab w:val="clear" w:pos="720"/>
        </w:tabs>
        <w:ind w:hanging="0" w:start="0" w:end="0"/>
        <w:rPr/>
      </w:pPr>
      <w:r>
        <w:rPr/>
        <w:t>The Balancing Energy Service deployment will be in megawatts. The Balancing Energy obligation shall be the power requested multiplied by the period of time deployed.</w:t>
      </w:r>
    </w:p>
    <w:p>
      <w:pPr>
        <w:pStyle w:val="05textparagraph"/>
        <w:numPr>
          <w:ilvl w:val="0"/>
          <w:numId w:val="35"/>
        </w:numPr>
        <w:tabs>
          <w:tab w:val="clear" w:pos="720"/>
        </w:tabs>
        <w:ind w:hanging="0" w:start="0" w:end="0"/>
        <w:rPr/>
      </w:pPr>
      <w:r>
        <w:rPr/>
        <w:t>Balancing Energy Service may only be deployed in the Operationing  Period. ERCOT’s selection of energy from AS resources for deployment shall be based on the merit order and not on the prices of individual bids or the expected MCPE.  ERCOT operator making Balancing Energy decisions shall not have access to these prices</w:t>
      </w:r>
    </w:p>
    <w:p>
      <w:pPr>
        <w:pStyle w:val="05textparagraph"/>
        <w:numPr>
          <w:ilvl w:val="0"/>
          <w:numId w:val="35"/>
        </w:numPr>
        <w:tabs>
          <w:tab w:val="clear" w:pos="720"/>
        </w:tabs>
        <w:ind w:hanging="0" w:start="0" w:end="0"/>
        <w:rPr/>
      </w:pPr>
      <w:r>
        <w:rPr/>
        <w:t xml:space="preserve">If the Balancing Energy Up bid stack does not overlap with the Balancing Energy Down bid stack and ERCOT is using Balancing Energy Up and needs a lesser amount of Balancing Energy, ERCOT must first recall any Balancing Energy Up prior to deploying any Balancing Energy Down. This is true in the opposite direction as well. Balancing Energy Service Up and Down energy shall not be deployed in the same Settlement Interval in the same Congestion Zone.  </w:t>
      </w:r>
    </w:p>
    <w:p>
      <w:pPr>
        <w:pStyle w:val="05textparagraph"/>
        <w:numPr>
          <w:ilvl w:val="0"/>
          <w:numId w:val="35"/>
        </w:numPr>
        <w:tabs>
          <w:tab w:val="clear" w:pos="720"/>
        </w:tabs>
        <w:ind w:hanging="0" w:start="0" w:end="0"/>
        <w:rPr/>
      </w:pPr>
      <w:r>
        <w:rPr/>
        <w:t xml:space="preserve">If the Balancing Energy Up bid stack overlaps with the Balancing Energy Down bid stack then both are deployed during the time ERCOT requires balancing within the overlap. </w:t>
      </w:r>
    </w:p>
    <w:p>
      <w:pPr>
        <w:pStyle w:val="05textparagraph"/>
        <w:numPr>
          <w:ilvl w:val="0"/>
          <w:numId w:val="35"/>
        </w:numPr>
        <w:tabs>
          <w:tab w:val="clear" w:pos="720"/>
        </w:tabs>
        <w:ind w:hanging="0" w:start="0" w:end="0"/>
        <w:rPr/>
      </w:pPr>
      <w:r>
        <w:rPr/>
        <w:t xml:space="preserve">ERCOT shall provide 10 minutes notice to the suppliers of Balancing Energy Service Up or Balancing Energy Service Down to stop or start provision via the Messaging System. </w:t>
      </w:r>
    </w:p>
    <w:p>
      <w:pPr>
        <w:pStyle w:val="05textparagraph"/>
        <w:numPr>
          <w:ilvl w:val="0"/>
          <w:numId w:val="35"/>
        </w:numPr>
        <w:tabs>
          <w:tab w:val="clear" w:pos="720"/>
        </w:tabs>
        <w:ind w:hanging="0" w:start="0" w:end="0"/>
        <w:rPr/>
      </w:pPr>
      <w:r>
        <w:rPr/>
        <w:t>ERCOT shall provide notice electronically via the Messaging System to each QSE with the amount of energy expected to be delivered as a result of Dispatch Instructions.</w:t>
      </w:r>
    </w:p>
    <w:p>
      <w:pPr>
        <w:pStyle w:val="05textparagraph"/>
        <w:numPr>
          <w:ilvl w:val="0"/>
          <w:numId w:val="35"/>
        </w:numPr>
        <w:tabs>
          <w:tab w:val="clear" w:pos="720"/>
        </w:tabs>
        <w:ind w:hanging="0" w:start="0" w:end="0"/>
        <w:rPr/>
      </w:pPr>
      <w:r>
        <w:rPr/>
        <w:t xml:space="preserve">Loads acting as a resource providing Balancing Energy service must be capable of responding to ERCOT deployment instructions in a similar manner to generation.  </w:t>
      </w:r>
    </w:p>
    <w:p>
      <w:pPr>
        <w:pStyle w:val="05textparagraph"/>
        <w:numPr>
          <w:ilvl w:val="0"/>
          <w:numId w:val="35"/>
        </w:numPr>
        <w:tabs>
          <w:tab w:val="clear" w:pos="720"/>
        </w:tabs>
        <w:ind w:hanging="0" w:start="0" w:end="0"/>
        <w:rPr/>
      </w:pPr>
      <w:r>
        <w:rPr/>
        <w:t>The deployment of power shall be constrained by the bidders’ specified ramp rate except during EECP Operations.</w:t>
      </w:r>
    </w:p>
    <w:p>
      <w:pPr>
        <w:pStyle w:val="05textparagraph"/>
        <w:numPr>
          <w:ilvl w:val="0"/>
          <w:numId w:val="35"/>
        </w:numPr>
        <w:tabs>
          <w:tab w:val="clear" w:pos="720"/>
        </w:tabs>
        <w:ind w:hanging="0" w:start="0" w:end="0"/>
        <w:rPr/>
      </w:pPr>
      <w:r>
        <w:rPr/>
        <w:t>Loads acting as resources may also be used by ERCOT under the OOME instructions and pricing structure.</w:t>
      </w:r>
    </w:p>
    <w:p>
      <w:pPr>
        <w:pStyle w:val="05textparagraph"/>
        <w:numPr>
          <w:ilvl w:val="0"/>
          <w:numId w:val="35"/>
        </w:numPr>
        <w:tabs>
          <w:tab w:val="clear" w:pos="720"/>
        </w:tabs>
        <w:ind w:hanging="0" w:start="0" w:end="0"/>
        <w:rPr/>
      </w:pPr>
      <w:r>
        <w:rPr/>
        <w:t>Loads acting as a resource and providing Balancing Energy service must provide a telemetered output signal representing the power of real time load updated at the ERCOT scan rate. The status of the interrupting device controlling the portion of load acting as a resource shall also be telemetered to ERCOT.</w:t>
      </w:r>
    </w:p>
    <w:p>
      <w:pPr>
        <w:pStyle w:val="05textparagraph"/>
        <w:numPr>
          <w:ilvl w:val="0"/>
          <w:numId w:val="35"/>
        </w:numPr>
        <w:tabs>
          <w:tab w:val="clear" w:pos="720"/>
        </w:tabs>
        <w:ind w:hanging="0" w:start="0" w:end="0"/>
        <w:rPr/>
      </w:pPr>
      <w:r>
        <w:rPr/>
        <w:t>The minimum amount of Balancing Energy that may be offered to ERCOT is 1 MW.</w:t>
      </w:r>
    </w:p>
    <w:p>
      <w:pPr>
        <w:pStyle w:val="05textparagraph"/>
        <w:rPr/>
      </w:pPr>
      <w:r>
        <w:rPr/>
      </w:r>
    </w:p>
    <w:p>
      <w:pPr>
        <w:pStyle w:val="Heading3"/>
        <w:numPr>
          <w:ilvl w:val="2"/>
          <w:numId w:val="18"/>
        </w:numPr>
        <w:ind w:hanging="0" w:start="0"/>
        <w:rPr/>
      </w:pPr>
      <w:r>
        <w:rPr/>
        <w:t>Regulation Service</w:t>
      </w:r>
    </w:p>
    <w:p>
      <w:pPr>
        <w:pStyle w:val="05textparagraph"/>
        <w:numPr>
          <w:ilvl w:val="3"/>
          <w:numId w:val="7"/>
        </w:numPr>
        <w:tabs>
          <w:tab w:val="clear" w:pos="720"/>
        </w:tabs>
        <w:ind w:hanging="0" w:start="0" w:end="0"/>
        <w:rPr/>
      </w:pPr>
      <w:r>
        <w:rPr/>
        <w:t>The QSE’s control system must be capable of receiving digital control signals from ERCOT’s control system, and of directing its units to respond to the control signals, in either an upward (RGS Up) or downward (RGS Down) direction to balance Real Time demand and resources, consistent with established NERC and ERCOT operating criteria.</w:t>
      </w:r>
    </w:p>
    <w:p>
      <w:pPr>
        <w:pStyle w:val="05textparagraph"/>
        <w:numPr>
          <w:ilvl w:val="3"/>
          <w:numId w:val="7"/>
        </w:numPr>
        <w:tabs>
          <w:tab w:val="clear" w:pos="720"/>
        </w:tabs>
        <w:ind w:hanging="0" w:start="0" w:end="0"/>
        <w:rPr/>
      </w:pPr>
      <w:r>
        <w:rPr/>
        <w:t xml:space="preserve">Any QSE providing regulation must provide for communications equipment to receive telemetered control deployments of power from ERCOT. </w:t>
      </w:r>
    </w:p>
    <w:p>
      <w:pPr>
        <w:pStyle w:val="05textparagraph"/>
        <w:numPr>
          <w:ilvl w:val="3"/>
          <w:numId w:val="7"/>
        </w:numPr>
        <w:tabs>
          <w:tab w:val="clear" w:pos="720"/>
        </w:tabs>
        <w:ind w:hanging="0" w:start="0" w:end="0"/>
        <w:rPr/>
      </w:pPr>
      <w:r>
        <w:rPr/>
        <w:t>QSEs must demonstrate to ERCOT that they have the capability to switch control to constant frequency operation as specified in the ERCOT Operating Guides using telemetry at the QSE’s control center.  ERCOT authorized operations of the QSEs regulation control system on constant frequency will be considered a Dispatch Instruction to deviate from schedule energy.</w:t>
      </w:r>
    </w:p>
    <w:p>
      <w:pPr>
        <w:pStyle w:val="05textparagraph"/>
        <w:numPr>
          <w:ilvl w:val="3"/>
          <w:numId w:val="7"/>
        </w:numPr>
        <w:tabs>
          <w:tab w:val="clear" w:pos="720"/>
        </w:tabs>
        <w:ind w:hanging="0" w:start="0" w:end="0"/>
        <w:rPr/>
      </w:pPr>
      <w:r>
        <w:rPr/>
        <w:t>QSEs providing RGS will be required to provide a feedback signal to ERCOT that identifies the amount of RGS power being provided each control cycle.</w:t>
      </w:r>
    </w:p>
    <w:p>
      <w:pPr>
        <w:pStyle w:val="05textparagraph"/>
        <w:numPr>
          <w:ilvl w:val="3"/>
          <w:numId w:val="7"/>
        </w:numPr>
        <w:tabs>
          <w:tab w:val="clear" w:pos="720"/>
        </w:tabs>
        <w:ind w:hanging="0" w:start="0" w:end="0"/>
        <w:rPr/>
      </w:pPr>
      <w:r>
        <w:rPr/>
        <w:t xml:space="preserve">The QSE awarded RGS must be capable of delivering the full amount of regulating capacity offered to ERCOT within 10 minutes. </w:t>
      </w:r>
    </w:p>
    <w:p>
      <w:pPr>
        <w:pStyle w:val="05textparagraph"/>
        <w:numPr>
          <w:ilvl w:val="3"/>
          <w:numId w:val="7"/>
        </w:numPr>
        <w:tabs>
          <w:tab w:val="clear" w:pos="720"/>
        </w:tabs>
        <w:ind w:hanging="0" w:start="0" w:end="0"/>
        <w:rPr/>
      </w:pPr>
      <w:r>
        <w:rPr/>
        <w:t>The minimum amount of RGS that may be offered to ERCOT is 1 MW.</w:t>
      </w:r>
    </w:p>
    <w:p>
      <w:pPr>
        <w:pStyle w:val="05textparagraph"/>
        <w:numPr>
          <w:ilvl w:val="3"/>
          <w:numId w:val="7"/>
        </w:numPr>
        <w:tabs>
          <w:tab w:val="clear" w:pos="720"/>
        </w:tabs>
        <w:ind w:hanging="0" w:start="0" w:end="0"/>
        <w:rPr/>
      </w:pPr>
      <w:r>
        <w:rPr/>
        <w:t xml:space="preserve">QSE’s bid prices will be for Capacity ($/MW).  </w:t>
      </w:r>
    </w:p>
    <w:p>
      <w:pPr>
        <w:pStyle w:val="05textparagraph"/>
        <w:numPr>
          <w:ilvl w:val="3"/>
          <w:numId w:val="7"/>
        </w:numPr>
        <w:tabs>
          <w:tab w:val="clear" w:pos="720"/>
        </w:tabs>
        <w:ind w:hanging="0" w:start="0" w:end="0"/>
        <w:rPr/>
      </w:pPr>
      <w:r>
        <w:rPr/>
        <w:t>All energy output by units providing RGS will be accounted for as instructed for Balancing Energy service.</w:t>
      </w:r>
    </w:p>
    <w:p>
      <w:pPr>
        <w:pStyle w:val="05textparagraph"/>
        <w:numPr>
          <w:ilvl w:val="3"/>
          <w:numId w:val="7"/>
        </w:numPr>
        <w:tabs>
          <w:tab w:val="clear" w:pos="720"/>
        </w:tabs>
        <w:ind w:hanging="0" w:start="0" w:end="0"/>
        <w:rPr/>
      </w:pPr>
      <w:r>
        <w:rPr/>
        <w:t>Each Generating Unit providing RGS must meet additional technical requirements specified in the Certification and Performance Monitoring Standards section of these Protocols, Section 6.10.</w:t>
      </w:r>
    </w:p>
    <w:p>
      <w:pPr>
        <w:pStyle w:val="05textparagraph"/>
        <w:numPr>
          <w:ilvl w:val="3"/>
          <w:numId w:val="7"/>
        </w:numPr>
        <w:tabs>
          <w:tab w:val="clear" w:pos="720"/>
        </w:tabs>
        <w:ind w:hanging="0" w:start="0" w:end="0"/>
        <w:rPr/>
      </w:pPr>
      <w:r>
        <w:rPr/>
        <w:t xml:space="preserve">The deployment of power shall be constrained by the bidders’ specified bid ramp rate. </w:t>
      </w:r>
    </w:p>
    <w:p>
      <w:pPr>
        <w:pStyle w:val="05textparagraph"/>
        <w:numPr>
          <w:ilvl w:val="3"/>
          <w:numId w:val="7"/>
        </w:numPr>
        <w:tabs>
          <w:tab w:val="clear" w:pos="720"/>
        </w:tabs>
        <w:ind w:hanging="0" w:start="0" w:end="0"/>
        <w:rPr/>
      </w:pPr>
      <w:r>
        <w:rPr/>
        <w:t>Generating units providing RGS must have their governors in service.</w:t>
      </w:r>
    </w:p>
    <w:p>
      <w:pPr>
        <w:pStyle w:val="05textparagraph"/>
        <w:numPr>
          <w:ilvl w:val="3"/>
          <w:numId w:val="7"/>
        </w:numPr>
        <w:tabs>
          <w:tab w:val="clear" w:pos="720"/>
        </w:tabs>
        <w:ind w:hanging="0" w:start="0" w:end="0"/>
        <w:rPr/>
      </w:pPr>
      <w:r>
        <w:rPr/>
        <w:t>RGS is deployed proportionately to all providers.</w:t>
      </w:r>
    </w:p>
    <w:p>
      <w:pPr>
        <w:pStyle w:val="05textparagraph"/>
        <w:numPr>
          <w:ilvl w:val="3"/>
          <w:numId w:val="7"/>
        </w:numPr>
        <w:tabs>
          <w:tab w:val="clear" w:pos="720"/>
        </w:tabs>
        <w:ind w:hanging="0" w:start="0" w:end="0"/>
        <w:rPr/>
      </w:pPr>
      <w:r>
        <w:rPr/>
        <w:t>Generating units accepted for RGS must be on-line and able to respond in the hours for which they have been selected to provide the Ancillary Service.</w:t>
      </w:r>
    </w:p>
    <w:p>
      <w:pPr>
        <w:pStyle w:val="05textparagraph"/>
        <w:rPr/>
      </w:pPr>
      <w:r>
        <w:rPr/>
      </w:r>
    </w:p>
    <w:p>
      <w:pPr>
        <w:pStyle w:val="Heading3"/>
        <w:numPr>
          <w:ilvl w:val="2"/>
          <w:numId w:val="18"/>
        </w:numPr>
        <w:ind w:hanging="0" w:start="0"/>
        <w:rPr/>
      </w:pPr>
      <w:r>
        <w:rPr/>
        <w:t>Responsive Reserve Service</w:t>
      </w:r>
    </w:p>
    <w:p>
      <w:pPr>
        <w:pStyle w:val="05textparagraph"/>
        <w:rPr/>
      </w:pPr>
      <w:r>
        <w:rPr/>
        <w:t>(1)</w:t>
        <w:tab/>
        <w:t xml:space="preserve">Responsive Reserve Service (RRS) may be provided by unloaded generation facilities that are on line, interruptible loads controlled by high-set under-frequency relays, Hydro Responsive Reserves, or from DC tie response that stops frequency decay.  The minimum amount of RRS provided by generating units shall be as specified in the ERCOT Operating Guides. </w:t>
      </w:r>
    </w:p>
    <w:p>
      <w:pPr>
        <w:pStyle w:val="05textparagraph"/>
        <w:numPr>
          <w:ilvl w:val="0"/>
          <w:numId w:val="7"/>
        </w:numPr>
        <w:tabs>
          <w:tab w:val="clear" w:pos="720"/>
        </w:tabs>
        <w:ind w:hanging="0" w:start="0" w:end="0"/>
        <w:rPr/>
      </w:pPr>
      <w:r>
        <w:rPr/>
        <w:t>QSE’s Generating Units providing RRS must be on-line and capable of ramping to the awarded output level within 10 minutes of notice to deploy energy, must be immediately responsive to system frequency, and must be able to maintain the awarded level for the period of service commitment. The amount of RRS on an individual Generating Unit may be further limited by requirements of the ERCOT Operating Guides.</w:t>
      </w:r>
    </w:p>
    <w:p>
      <w:pPr>
        <w:pStyle w:val="05textparagraph"/>
        <w:rPr/>
      </w:pPr>
      <w:r>
        <w:rPr/>
        <w:t>(3)</w:t>
        <w:tab/>
        <w:t xml:space="preserve">Any QSE providing RRS must provide for communications equipment to receive telemetered control deployments of power from ERCOT. </w:t>
      </w:r>
    </w:p>
    <w:p>
      <w:pPr>
        <w:pStyle w:val="05textparagraph"/>
        <w:rPr/>
      </w:pPr>
      <w:r>
        <w:rPr/>
        <w:t>(4)</w:t>
        <w:tab/>
        <w:t>Generating units providing RRS must have their governors in service.</w:t>
      </w:r>
    </w:p>
    <w:p>
      <w:pPr>
        <w:pStyle w:val="05textparagraph"/>
        <w:rPr/>
      </w:pPr>
      <w:r>
        <w:rPr/>
        <w:t>(5)</w:t>
        <w:tab/>
        <w:t xml:space="preserve">Loads providing RRS must provide a telemetered output signal, including breaker status and status of the under-frequency relay. </w:t>
      </w:r>
    </w:p>
    <w:p>
      <w:pPr>
        <w:pStyle w:val="05textparagraph"/>
        <w:rPr/>
      </w:pPr>
      <w:r>
        <w:rPr/>
        <w:t>(6)</w:t>
        <w:tab/>
        <w:t xml:space="preserve">The minimum amount of RRS that may be offered to ERCOT is 1 MW. </w:t>
      </w:r>
    </w:p>
    <w:p>
      <w:pPr>
        <w:pStyle w:val="05textparagraph"/>
        <w:rPr/>
      </w:pPr>
      <w:r>
        <w:rPr/>
        <w:t>(7)</w:t>
        <w:tab/>
        <w:t xml:space="preserve">Generating units accepted for RRS must be on-line and able to respond in the hours for which they have been selected to provide the Ancillary Service. </w:t>
      </w:r>
    </w:p>
    <w:p>
      <w:pPr>
        <w:pStyle w:val="05textparagraph"/>
        <w:rPr/>
      </w:pPr>
      <w:r>
        <w:rPr/>
        <w:t>(8)</w:t>
        <w:tab/>
        <w:t>Each Generating Unit and load acting as a resource and RRS must meet additional technical requirements specified in the Certification and Performance Monitoring Standards of these Protocols, Section 6.10.</w:t>
      </w:r>
    </w:p>
    <w:p>
      <w:pPr>
        <w:pStyle w:val="05textparagraph"/>
        <w:rPr/>
      </w:pPr>
      <w:r>
        <w:rPr/>
        <w:t>(9)</w:t>
        <w:tab/>
        <w:t>RRS resources on high-set under-frequency relays will be limited as prescribed in the ERCOT Operating Guides</w:t>
      </w:r>
    </w:p>
    <w:p>
      <w:pPr>
        <w:pStyle w:val="Heading3"/>
        <w:numPr>
          <w:ilvl w:val="2"/>
          <w:numId w:val="18"/>
        </w:numPr>
        <w:ind w:hanging="0" w:start="0"/>
        <w:rPr/>
      </w:pPr>
      <w:r>
        <w:rPr/>
        <w:t>Non-Spinning Reserve Service (NSRS)</w:t>
      </w:r>
    </w:p>
    <w:p>
      <w:pPr>
        <w:pStyle w:val="05textparagraph"/>
        <w:rPr/>
      </w:pPr>
      <w:r>
        <w:rPr/>
        <w:t>(1)</w:t>
        <w:tab/>
        <w:t>NSRS providers must be capable of being synchronized and ramped to their bid-specified output level within 30 minutes.</w:t>
      </w:r>
    </w:p>
    <w:p>
      <w:pPr>
        <w:pStyle w:val="05textparagraph"/>
        <w:rPr/>
      </w:pPr>
      <w:r>
        <w:rPr/>
        <w:t>(2)</w:t>
        <w:tab/>
        <w:t>QSEs may provide service at a faster response than 30 minutes without performance implications.</w:t>
      </w:r>
    </w:p>
    <w:p>
      <w:pPr>
        <w:pStyle w:val="05textparagraph"/>
        <w:rPr/>
      </w:pPr>
      <w:r>
        <w:rPr/>
        <w:t>(3)</w:t>
        <w:tab/>
        <w:t>NSRS can be provided from unloaded on-line capacity that can ramp within 30 minutes and that is not fulfilling any other commitment from the capacity, including participation in ERCOT markets, self-generation, or other energy transactions.</w:t>
      </w:r>
    </w:p>
    <w:p>
      <w:pPr>
        <w:pStyle w:val="05textparagraph"/>
        <w:rPr/>
      </w:pPr>
      <w:r>
        <w:rPr/>
        <w:t>(4)</w:t>
        <w:tab/>
        <w:t xml:space="preserve">Loads providing NSRS must provide a telemetered output signal, including breaker status. </w:t>
      </w:r>
    </w:p>
    <w:p>
      <w:pPr>
        <w:pStyle w:val="05textparagraph"/>
        <w:numPr>
          <w:ilvl w:val="0"/>
          <w:numId w:val="13"/>
        </w:numPr>
        <w:tabs>
          <w:tab w:val="clear" w:pos="720"/>
        </w:tabs>
        <w:ind w:hanging="0" w:start="0" w:end="0"/>
        <w:rPr/>
      </w:pPr>
      <w:r>
        <w:rPr/>
        <w:t xml:space="preserve">The minimum amount of NSRS that may be offered to ERCOT is 1 MW. </w:t>
      </w:r>
    </w:p>
    <w:p>
      <w:pPr>
        <w:pStyle w:val="05textparagraph"/>
        <w:numPr>
          <w:ilvl w:val="0"/>
          <w:numId w:val="13"/>
        </w:numPr>
        <w:tabs>
          <w:tab w:val="clear" w:pos="720"/>
        </w:tabs>
        <w:ind w:hanging="0" w:start="0" w:end="0"/>
        <w:rPr/>
      </w:pPr>
      <w:r>
        <w:rPr/>
        <w:t>Each Generating Unit and load acting as a resource and providing NSRS must meet additional technical requirements specified in the Certification and Performance Monitoring Standards section of these Protocols, 6.10.</w:t>
      </w:r>
    </w:p>
    <w:p>
      <w:pPr>
        <w:pStyle w:val="05textparagraph"/>
        <w:numPr>
          <w:ilvl w:val="0"/>
          <w:numId w:val="13"/>
        </w:numPr>
        <w:ind w:hanging="0" w:start="0" w:end="0"/>
        <w:rPr/>
      </w:pPr>
      <w:r>
        <w:rPr/>
        <w:t xml:space="preserve">Loads providing NSRS must be capable of responding to ERCOT deployment instructions in a similar manner to generation.  </w:t>
      </w:r>
    </w:p>
    <w:p>
      <w:pPr>
        <w:pStyle w:val="16listlevel1"/>
        <w:numPr>
          <w:ilvl w:val="0"/>
          <w:numId w:val="13"/>
        </w:numPr>
        <w:ind w:hanging="0" w:start="0" w:end="0"/>
        <w:rPr/>
      </w:pPr>
      <w:r>
        <w:rPr/>
        <w:t xml:space="preserve">Generating units accepted for NSRS must be able to respond in the hours for which they have been selected to provide the Ancillary Service. </w:t>
      </w:r>
    </w:p>
    <w:p>
      <w:pPr>
        <w:pStyle w:val="Heading3"/>
        <w:numPr>
          <w:ilvl w:val="2"/>
          <w:numId w:val="18"/>
        </w:numPr>
        <w:ind w:hanging="0" w:start="0"/>
        <w:rPr/>
      </w:pPr>
      <w:r>
        <w:rPr/>
        <w:t>Replacement Reserve Service</w:t>
      </w:r>
    </w:p>
    <w:p>
      <w:pPr>
        <w:pStyle w:val="05textparagraph"/>
        <w:rPr/>
      </w:pPr>
      <w:r>
        <w:rPr/>
        <w:t>(1)</w:t>
        <w:tab/>
        <w:t>Replacement Reserve Service (RPRS) is provided by resources that may otherwise be unavailable to ERCOT in the hours that ERCOT requests RPRS.  These resources may include generating units that are off-line, or generating units that are expected to be off-line in the requested hours and loads acting as a resource that otherwise may be unavailable to be dispatched by ERCOT.</w:t>
      </w:r>
    </w:p>
    <w:p>
      <w:pPr>
        <w:pStyle w:val="05textparagraph"/>
        <w:rPr/>
      </w:pPr>
      <w:r>
        <w:rPr/>
        <w:t>(2)</w:t>
        <w:tab/>
        <w:t xml:space="preserve">Resources providing RPRS must provide a telemetered output signal, including breaker status. </w:t>
      </w:r>
    </w:p>
    <w:p>
      <w:pPr>
        <w:pStyle w:val="05textparagraph"/>
        <w:rPr/>
      </w:pPr>
      <w:r>
        <w:rPr/>
        <w:t>(3)</w:t>
        <w:tab/>
        <w:t>The minimum amount of RPRS that may be offered to ERCOT is 1 MW.</w:t>
      </w:r>
    </w:p>
    <w:p>
      <w:pPr>
        <w:pStyle w:val="05textparagraph"/>
        <w:rPr/>
      </w:pPr>
      <w:r>
        <w:rPr/>
        <w:t>(4)</w:t>
        <w:tab/>
        <w:t>Resources eligible to bid must meet additional technical requirements specified in ERCOT Operating Guides</w:t>
      </w:r>
    </w:p>
    <w:p>
      <w:pPr>
        <w:pStyle w:val="05textparagraph"/>
        <w:rPr/>
      </w:pPr>
      <w:r>
        <w:rPr/>
        <w:t>(5)</w:t>
        <w:tab/>
        <w:t>There may only be one RPRS bid from any given Resource.</w:t>
      </w:r>
    </w:p>
    <w:p>
      <w:pPr>
        <w:pStyle w:val="05textparagraph"/>
        <w:rPr/>
      </w:pPr>
      <w:r>
        <w:rPr/>
        <w:t>(6)</w:t>
        <w:tab/>
        <w:t>Generating units accepted for RPRS must be able to respond in the hours for which they have been selected to provide the Ancillary Service.</w:t>
      </w:r>
    </w:p>
    <w:p>
      <w:pPr>
        <w:pStyle w:val="05textparagraph"/>
        <w:rPr/>
      </w:pPr>
      <w:r>
        <w:rPr/>
        <w:t>(7)</w:t>
        <w:tab/>
        <w:t>Loads providing RPRS must be capable of responding to ERCOT deployment instructions in a similar manner to generation.</w:t>
      </w:r>
    </w:p>
    <w:p>
      <w:pPr>
        <w:pStyle w:val="05textparagraph"/>
        <w:rPr/>
      </w:pPr>
      <w:r>
        <w:rPr/>
        <w:t>(8)</w:t>
        <w:tab/>
        <w:t>Loads bidding as resources may also be used by ERCOT under the OOME instructions and pricing structure.</w:t>
      </w:r>
    </w:p>
    <w:p>
      <w:pPr>
        <w:pStyle w:val="05textparagraph"/>
        <w:rPr/>
      </w:pPr>
      <w:r>
        <w:rPr/>
        <w:t>(9)</w:t>
        <w:tab/>
        <w:t>Each Generating Unit and load acting as a resource and providing RPRS must meet additional technical requirements specified in the Certification and Performance Monitoring Standards section of these Protocols, 6.10.</w:t>
      </w:r>
    </w:p>
    <w:p>
      <w:pPr>
        <w:pStyle w:val="05textparagraph"/>
        <w:rPr/>
      </w:pPr>
      <w:r>
        <w:rPr/>
        <w:t>(10)</w:t>
        <w:tab/>
        <w:t>QSEs must remain on schedule despite any generation provided by the RPRS unit.  For example, the QSE supplying RPRS must adjust other resources to accommodate the output of the RPRS resource selected by ERCOT in order to remain on schedule. QSEs must also remain on schedule despite any variations in the load acting as a resource while maintaining the availability of the resource to respond to ERCOT’s Dispatch Instructions.</w:t>
      </w:r>
    </w:p>
    <w:p>
      <w:pPr>
        <w:pStyle w:val="Heading3"/>
        <w:numPr>
          <w:ilvl w:val="2"/>
          <w:numId w:val="18"/>
        </w:numPr>
        <w:ind w:hanging="0" w:start="0"/>
        <w:rPr/>
      </w:pPr>
      <w:r>
        <w:rPr/>
        <w:t>Voltage Support Service</w:t>
      </w:r>
    </w:p>
    <w:p>
      <w:pPr>
        <w:pStyle w:val="05textparagraph"/>
        <w:rPr/>
      </w:pPr>
      <w:r>
        <w:rPr/>
        <w:t>(1)</w:t>
        <w:tab/>
        <w:t>A QSEs Generating Unit is expected to operate within the reactive power capability requirements specified in these Protocols and the ERCOT Operating Guides.</w:t>
      </w:r>
    </w:p>
    <w:p>
      <w:pPr>
        <w:pStyle w:val="05textparagraph"/>
        <w:rPr/>
      </w:pPr>
      <w:r>
        <w:rPr/>
        <w:t>(2)</w:t>
        <w:tab/>
        <w:t>Each Generating Unit providing Voltage Support Service must meet technical requirements specified in the Certification and Performance Monitoring Standards section of these Protocols, Section 6.10.</w:t>
      </w:r>
    </w:p>
    <w:p>
      <w:pPr>
        <w:pStyle w:val="05textparagraph"/>
        <w:rPr/>
      </w:pPr>
      <w:r>
        <w:rPr/>
        <w:t>(3)</w:t>
        <w:tab/>
        <w:t>ERCOT shall establish, and update as necessary, voltage schedules at points of interconnection of Generation Units to maintain system voltages within established limits</w:t>
      </w:r>
    </w:p>
    <w:p>
      <w:pPr>
        <w:pStyle w:val="05textparagraph"/>
        <w:rPr/>
      </w:pPr>
      <w:r>
        <w:rPr/>
        <w:t>(4)</w:t>
        <w:tab/>
        <w:t>ERCOT shall communicate to the QSE the desired voltage at the point of interconnection</w:t>
      </w:r>
    </w:p>
    <w:p>
      <w:pPr>
        <w:pStyle w:val="05textparagraph"/>
        <w:rPr/>
      </w:pPr>
      <w:r>
        <w:rPr/>
        <w:t>(5)</w:t>
        <w:tab/>
        <w:t>ERCOT shall deploy and continuously maintain reactive reserves from QSEs, both leading and lagging, adequate to meet contingencies.</w:t>
      </w:r>
    </w:p>
    <w:p>
      <w:pPr>
        <w:pStyle w:val="05textparagraph"/>
        <w:rPr/>
      </w:pPr>
      <w:r>
        <w:rPr/>
        <w:t>(6)</w:t>
        <w:tab/>
        <w:t>A QSE’s Generating Unit shall operate with the unit’s automatic voltage regulator (AVR) in use during the schedule period in which service is provided, unless specifically directed to operate in manual mode by ERCOT, or a need to operate in manual mode is identified for emergency reasons by the QSE.  When the QSE changes the mode, the QSE shall promptly inform ERCOT. Any QSE controlled p</w:t>
      </w:r>
      <w:r>
        <w:rPr>
          <w:spacing w:val="-2"/>
        </w:rPr>
        <w:t>ower system stabilizers will be kept in service whenever possible.  QSEs’ Control Centers will continuously monitor and control the status of their regulators and stabilizers.</w:t>
      </w:r>
    </w:p>
    <w:p>
      <w:pPr>
        <w:pStyle w:val="05textparagraph"/>
        <w:rPr/>
      </w:pPr>
      <w:r>
        <w:rPr/>
        <w:t>(7)</w:t>
        <w:tab/>
        <w:t>QSEs shall meet, within established tolerances, and respond to changes in the voltage or reactive power schedule established by ERCOT subject to the stated QSE reactive and real power operating characteristic limits and voltage limits.</w:t>
      </w:r>
    </w:p>
    <w:p>
      <w:pPr>
        <w:pStyle w:val="05textparagraph"/>
        <w:rPr/>
      </w:pPr>
      <w:r>
        <w:rPr/>
        <w:t>(8)</w:t>
        <w:tab/>
        <w:t xml:space="preserve">QSEs shall maintain stated reactive capacity, both leading and lagging.  A Generating Unit’s stated lagging reactive capacity shall be supplied without interruption or degradation when subject to sudden and large voltage drops. </w:t>
      </w:r>
    </w:p>
    <w:p>
      <w:pPr>
        <w:pStyle w:val="Heading3"/>
        <w:numPr>
          <w:ilvl w:val="2"/>
          <w:numId w:val="18"/>
        </w:numPr>
        <w:ind w:hanging="0" w:start="0"/>
        <w:rPr/>
      </w:pPr>
      <w:r>
        <w:rPr/>
        <w:t>Black Start Service</w:t>
      </w:r>
    </w:p>
    <w:p>
      <w:pPr>
        <w:pStyle w:val="05textparagraph"/>
        <w:rPr/>
      </w:pPr>
      <w:r>
        <w:rPr/>
        <w:t>(1)</w:t>
        <w:tab/>
        <w:t>Providers of Black Start service shall meet the requirements specified in NERC Policy 10.</w:t>
      </w:r>
    </w:p>
    <w:p>
      <w:pPr>
        <w:pStyle w:val="05textparagraph"/>
        <w:rPr/>
      </w:pPr>
      <w:r>
        <w:rPr/>
        <w:t>(2)</w:t>
        <w:tab/>
        <w:t>Each generating unit providing Black Start Service must meet technical requirements specified in the Certification and Performance Monitoring Standards section of these Protocols, Section 6.10.</w:t>
      </w:r>
    </w:p>
    <w:p>
      <w:pPr>
        <w:pStyle w:val="05textparagraph"/>
        <w:rPr/>
      </w:pPr>
      <w:r>
        <w:rPr/>
        <w:t>(3)</w:t>
        <w:tab/>
        <w:t>ERCOT will request bids from generation entities for the provision of Black Start Service on October 1, annually.  Bids will be evaluated and contracted by December 31 for the following year’s period beginning January 1.  ERCOT shall ensure Black Start Services are arranged, provided, and deployed as necessary to reenergize the transmission network following a total or partial system blackout.</w:t>
      </w:r>
    </w:p>
    <w:p>
      <w:pPr>
        <w:pStyle w:val="05textparagraph"/>
        <w:rPr/>
      </w:pPr>
      <w:r>
        <w:rPr/>
        <w:t>(4)</w:t>
        <w:tab/>
        <w:t>ERCOT shall schedule random testing or simulation, or both, to verify Black Start Service is operable according to the ERCOT system restoration plan. Testing and verification will be in accordance with established certification criteria</w:t>
      </w:r>
    </w:p>
    <w:p>
      <w:pPr>
        <w:pStyle w:val="05textparagraph"/>
        <w:rPr/>
      </w:pPr>
      <w:r>
        <w:rPr/>
        <w:t>(5)</w:t>
        <w:tab/>
        <w:t>QSEs representing Generating Units contracting for Black Start Services shall participate in training and restoration drills coordinated by ERCOT.</w:t>
      </w:r>
    </w:p>
    <w:p>
      <w:pPr>
        <w:pStyle w:val="05textparagraph"/>
        <w:rPr/>
      </w:pPr>
      <w:r>
        <w:rPr/>
        <w:t>(6)</w:t>
        <w:tab/>
        <w:t>ERCOT shall periodically conduct system restoration seminars for all TDSPs, QSEs, PGCs and other Market Participants.</w:t>
      </w:r>
    </w:p>
    <w:p>
      <w:pPr>
        <w:pStyle w:val="Heading3"/>
        <w:numPr>
          <w:ilvl w:val="2"/>
          <w:numId w:val="18"/>
        </w:numPr>
        <w:ind w:hanging="0" w:start="0"/>
        <w:rPr/>
      </w:pPr>
      <w:r>
        <w:rPr/>
        <w:t>Reliability Must-Run Service</w:t>
      </w:r>
    </w:p>
    <w:p>
      <w:pPr>
        <w:pStyle w:val="05textparagraph"/>
        <w:rPr/>
      </w:pPr>
      <w:r>
        <w:rPr/>
        <w:t xml:space="preserve">ERCOT shall follow published procedures when scheduling must-run units and make available through posting on the ERCOT OASIS all studies supporting the need for declaring units as must-run. ERCOT should make every attempt to minimize the use of RMR facilities. ERCOT should have the right to dispatch an RMR unit at any time for transmission reliability, but should be required to dispatch the unit as early as possible once conditions are identified that require the use of the RMR facility. </w:t>
      </w:r>
    </w:p>
    <w:p>
      <w:pPr>
        <w:pStyle w:val="16listlevel1"/>
        <w:numPr>
          <w:ilvl w:val="0"/>
          <w:numId w:val="0"/>
        </w:numPr>
        <w:ind w:hanging="0" w:start="0"/>
        <w:rPr/>
      </w:pPr>
      <w:r>
        <w:rPr/>
      </w:r>
    </w:p>
    <w:p>
      <w:pPr>
        <w:pStyle w:val="05textparagraph"/>
        <w:rPr/>
      </w:pPr>
      <w:r>
        <w:rPr/>
        <w:t>(1)</w:t>
        <w:tab/>
        <w:t>Each Generating Unit providing Reliability Must Run Service must meet technical requirements specified in the Certification and Performance Monitoring Standards section of these Protocols, Section 6.10.</w:t>
      </w:r>
    </w:p>
    <w:p>
      <w:pPr>
        <w:pStyle w:val="05textparagraph"/>
        <w:rPr/>
      </w:pPr>
      <w:r>
        <w:rPr/>
        <w:t>(2)</w:t>
        <w:tab/>
        <w:t xml:space="preserve">RMR service is an annually contracted service between the owners of generating units and ERCOT. A sample RMR Standard Agreement is included in the Attachments of these Protocols. </w:t>
      </w:r>
    </w:p>
    <w:p>
      <w:pPr>
        <w:pStyle w:val="05textparagraph"/>
        <w:rPr/>
      </w:pPr>
      <w:r>
        <w:rPr/>
        <w:t>(3)</w:t>
        <w:tab/>
        <w:t>A Generating Unit is eligible for RMR status based on criteria established by ERCOT indicating its operation is necessary to support transmission system reliability. Units can only obtain RMR contracts where Market Solutions are not available to ensure ERCOT transmission system reliability.</w:t>
      </w:r>
    </w:p>
    <w:p>
      <w:pPr>
        <w:pStyle w:val="05textparagraph"/>
        <w:rPr/>
      </w:pPr>
      <w:r>
        <w:rPr/>
        <w:t>(4)</w:t>
        <w:tab/>
        <w:t>A Generating Unit can not be compelled to enter into an RMR contract. Owners of generation units that are uneconomic to remain in service can voluntarily petition ERCOT for annually contracted RMR status. ERCOT will be required to attest as to whether the unit is necessary for system reliability based on a defined set of planning criteria established in the ERCOT Operating Guides.</w:t>
      </w:r>
    </w:p>
    <w:p>
      <w:pPr>
        <w:pStyle w:val="05textparagraph"/>
        <w:rPr/>
      </w:pPr>
      <w:r>
        <w:rPr/>
        <w:t>(5)</w:t>
        <w:tab/>
        <w:t>ERCOT must acquire the entire capacity of the needed Generating Unit.</w:t>
      </w:r>
    </w:p>
    <w:p>
      <w:pPr>
        <w:pStyle w:val="05textparagraph"/>
        <w:rPr/>
      </w:pPr>
      <w:r>
        <w:rPr/>
        <w:t>(6)</w:t>
        <w:tab/>
        <w:t>RMR units may not participate in the bilateral capacity and energy market, including Self-Arranging Ancillary Services.  RMR units will provide Balancing Energy and receive Balancing Energy MCPE for energy except energy as instructed under the terms of the RMR contract.</w:t>
      </w:r>
    </w:p>
    <w:p>
      <w:pPr>
        <w:pStyle w:val="05textparagraph"/>
        <w:rPr/>
      </w:pPr>
      <w:r>
        <w:rPr/>
        <w:t>(7)</w:t>
        <w:tab/>
        <w:t>RMR units are dispatched by ERCOT only when necessary to ensure ERCOT transmission system security, including any emergency situation.</w:t>
      </w:r>
    </w:p>
    <w:p>
      <w:pPr>
        <w:pStyle w:val="05textparagraph"/>
        <w:rPr/>
      </w:pPr>
      <w:r>
        <w:rPr/>
        <w:t>(8)</w:t>
        <w:tab/>
        <w:t xml:space="preserve">ERCOT will treat the undeployed energy from RMR units like any other unit for purposes of Balancing Energy Service Up or OOME Service provided the time of use constraints of the RMR unit are maintained.  ERCOT may consider starting a RMR unit prior to procuring OOMC services on other units provided the time of use constraints of the RMR unit are maintained. </w:t>
      </w:r>
    </w:p>
    <w:p>
      <w:pPr>
        <w:pStyle w:val="05textparagraph"/>
        <w:rPr/>
      </w:pPr>
      <w:r>
        <w:rPr/>
        <w:t>(9)</w:t>
        <w:tab/>
        <w:t>ERCOT will administer RMR contracts in such a way as to minimize the use of RMR units.  ERCOT will provide to all Market Participants all information relative to the use of RMR including energy deployed.</w:t>
      </w:r>
    </w:p>
    <w:p>
      <w:pPr>
        <w:pStyle w:val="05textparagraph"/>
        <w:rPr/>
      </w:pPr>
      <w:r>
        <w:rPr/>
        <w:t>(10)</w:t>
        <w:tab/>
        <w:t>All RMR owners will report scheduled and forced Maintenance Outages to ERCOT.</w:t>
      </w:r>
    </w:p>
    <w:p>
      <w:pPr>
        <w:pStyle w:val="Heading3"/>
        <w:numPr>
          <w:ilvl w:val="2"/>
          <w:numId w:val="18"/>
        </w:numPr>
        <w:ind w:hanging="0" w:start="0"/>
        <w:rPr/>
      </w:pPr>
      <w:r>
        <w:rPr/>
        <w:t>Out-Of-Merit Capacity and Out- of-Merit Energy Services</w:t>
      </w:r>
    </w:p>
    <w:p>
      <w:pPr>
        <w:pStyle w:val="Normal"/>
        <w:rPr/>
      </w:pPr>
      <w:r>
        <w:rPr/>
      </w:r>
    </w:p>
    <w:p>
      <w:pPr>
        <w:pStyle w:val="05textparagraph"/>
        <w:rPr/>
      </w:pPr>
      <w:r>
        <w:rPr/>
        <w:t xml:space="preserve">ERCOT will use OOMC and OOME Services to procure additional capacity and energy required to ensure reliable ERCOT Transmission System operation. </w:t>
      </w:r>
    </w:p>
    <w:p>
      <w:pPr>
        <w:pStyle w:val="05textparagraph"/>
        <w:rPr/>
      </w:pPr>
      <w:r>
        <w:rPr/>
        <w:t xml:space="preserve"> </w:t>
      </w:r>
      <w:r>
        <w:rPr/>
        <w:t>(2)</w:t>
        <w:tab/>
        <w:t>Any Generation Unit or load acting as a resource may be called upon by ERCOT to provide OOMC service, in any time frame that unit or load is listed as available in the Resource Plan.</w:t>
      </w:r>
    </w:p>
    <w:p>
      <w:pPr>
        <w:pStyle w:val="05textparagraph"/>
        <w:rPr/>
      </w:pPr>
      <w:r>
        <w:rPr/>
        <w:t>(3)</w:t>
        <w:tab/>
        <w:t>OOMC is dispatched by ERCOT only when necessary to ensure transmission system security. ERCOT will call on OOMC and OOME service in such a way as to minimize the use of this service.</w:t>
      </w:r>
    </w:p>
    <w:p>
      <w:pPr>
        <w:pStyle w:val="05textparagraph"/>
        <w:rPr/>
      </w:pPr>
      <w:r>
        <w:rPr/>
        <w:t>(4)</w:t>
        <w:tab/>
        <w:t xml:space="preserve">OOME will be settled in accordance with Balancing Energy settlement Protocols. </w:t>
      </w:r>
    </w:p>
    <w:p>
      <w:pPr>
        <w:pStyle w:val="05textparagraph"/>
        <w:rPr/>
      </w:pPr>
      <w:r>
        <w:rPr/>
        <w:t>(5)</w:t>
        <w:tab/>
        <w:t>The QSE associated with the generating unit or load acting as a resource that receives a Dispatch Instruction to provide OOMC service must use all commercially reasonable efforts to provide the requested service.  If the QSE declines the Dispatch Instruction according provisions of Section 5.4.4 of these Protocols to provide OOMC service, ERCOT will post such declines on the ERCOT website.</w:t>
      </w:r>
    </w:p>
    <w:p>
      <w:pPr>
        <w:pStyle w:val="Heading2"/>
        <w:numPr>
          <w:ilvl w:val="1"/>
          <w:numId w:val="18"/>
        </w:numPr>
        <w:ind w:hanging="0" w:start="0"/>
        <w:rPr/>
      </w:pPr>
      <w:bookmarkStart w:id="6" w:name="__RefHeading___Toc489344926"/>
      <w:bookmarkEnd w:id="6"/>
      <w:r>
        <w:rPr/>
        <w:t>Selection Methodology</w:t>
      </w:r>
    </w:p>
    <w:p>
      <w:pPr>
        <w:pStyle w:val="Heading3"/>
        <w:numPr>
          <w:ilvl w:val="2"/>
          <w:numId w:val="18"/>
        </w:numPr>
        <w:ind w:hanging="0" w:start="0"/>
        <w:rPr/>
      </w:pPr>
      <w:r>
        <w:rPr/>
        <w:t>Qualified Scheduling Entity Rights and Obligations to Self-Arrange Ancillary Service Resources</w:t>
      </w:r>
    </w:p>
    <w:p>
      <w:pPr>
        <w:pStyle w:val="05textparagraph"/>
        <w:rPr/>
      </w:pPr>
      <w:r>
        <w:rPr/>
        <w:t>(1)</w:t>
        <w:tab/>
        <w:t xml:space="preserve">QSEs may only Self-Arrange Regulation Up, Regulation Down, Responsive Reserve Services, and Non-Spinning Reserve Services. </w:t>
      </w:r>
    </w:p>
    <w:p>
      <w:pPr>
        <w:pStyle w:val="05textparagraph"/>
        <w:rPr/>
      </w:pPr>
      <w:r>
        <w:rPr/>
        <w:t>(2)</w:t>
        <w:tab/>
        <w:t xml:space="preserve">A QSE may Self-Arrange resources by indicating the amount of each Ancillary Services that will be Self-Arranged in each hour of the Operating Day, </w:t>
      </w:r>
    </w:p>
    <w:p>
      <w:pPr>
        <w:pStyle w:val="05textparagraph"/>
        <w:rPr/>
      </w:pPr>
      <w:r>
        <w:rPr/>
        <w:t>(3)</w:t>
        <w:tab/>
        <w:t>The quantity Self-Arranged specified by a QSE at 11:00 in the Day Ahead shall not be changed.</w:t>
      </w:r>
    </w:p>
    <w:p>
      <w:pPr>
        <w:pStyle w:val="05textparagraph"/>
        <w:rPr/>
      </w:pPr>
      <w:r>
        <w:rPr/>
        <w:t>(4)</w:t>
        <w:tab/>
        <w:t>Additional Ancillary Services needs identified by ERCOT in the Adjustment Period will provide an opportunity for QSEs to Self-Arrange subject to the limitations on Self-Arranged.  Once scheduled, the quantity Self-Arranged may not be changed.</w:t>
      </w:r>
    </w:p>
    <w:p>
      <w:pPr>
        <w:pStyle w:val="05textparagraph"/>
        <w:rPr/>
      </w:pPr>
      <w:r>
        <w:rPr/>
        <w:t>(5)</w:t>
        <w:tab/>
        <w:t>QSEs may schedule with ERCOT to provide Ancillary Services on another QSE’s behalf by notifying ERCOT consistent with the requirements of the Scheduling Protocol.</w:t>
      </w:r>
    </w:p>
    <w:p>
      <w:pPr>
        <w:pStyle w:val="05textparagraph"/>
        <w:rPr/>
      </w:pPr>
      <w:r>
        <w:rPr/>
        <w:t xml:space="preserve">6.6.2 </w:t>
        <w:tab/>
      </w:r>
      <w:r>
        <w:rPr>
          <w:i/>
        </w:rPr>
        <w:t>Competitive Procurement of Ancillary Service Resources by ERCOT</w:t>
      </w:r>
    </w:p>
    <w:p>
      <w:pPr>
        <w:pStyle w:val="05textparagraph"/>
        <w:rPr/>
      </w:pPr>
      <w:r>
        <w:rPr/>
        <w:t>(1)</w:t>
        <w:tab/>
        <w:t>Except where stated to the contrary in the Protocol, ERCOT shall, to the extent the Ancillary Services are available, use competitive procurement processes to procure sufficient Ancillary Services to meet the requirements specified in these Protocols.</w:t>
      </w:r>
    </w:p>
    <w:p>
      <w:pPr>
        <w:pStyle w:val="05textparagraph"/>
        <w:rPr/>
      </w:pPr>
      <w:r>
        <w:rPr/>
        <w:t>(2)</w:t>
        <w:tab/>
        <w:t>QSEs may submit bids to provide Regulation Down, Regulation Up, Responsive Reserves, and Non-Spinning Reserves, as part of the Day-Ahead Scheduling Process in accordance with Section 4.4.</w:t>
      </w:r>
    </w:p>
    <w:p>
      <w:pPr>
        <w:pStyle w:val="05textparagraph"/>
        <w:rPr/>
      </w:pPr>
      <w:r>
        <w:rPr/>
        <w:t>(3)</w:t>
        <w:tab/>
        <w:t>QSEs offering Balancing Energy Up, Balancing Energy Down, and Replacement Reserves can offer bids through the Adjustment Period, in accordance with Section 4.5 of the Scheduling Protocols.</w:t>
      </w:r>
    </w:p>
    <w:p>
      <w:pPr>
        <w:pStyle w:val="05textparagraph"/>
        <w:rPr/>
      </w:pPr>
      <w:r>
        <w:rPr/>
        <w:t>(4)</w:t>
        <w:tab/>
        <w:t xml:space="preserve">QSE’s bids to provide Ancillary Services will continue to be valid until expired or withdrawn by the QSE . Bids may not be withdrawn during bid evaluation by ERCOT as described in Sections 4.4 and 4.5. </w:t>
      </w:r>
    </w:p>
    <w:p>
      <w:pPr>
        <w:pStyle w:val="06notes"/>
        <w:rPr/>
      </w:pPr>
      <w:r>
        <w:rPr/>
        <w:t>Need language to describe that QSEs can withdraw bids for the various services, most likely beyond what is captured here.  For example, needs to address whether Balancing Energy bids associated with RPRS can be withdrawn, differences between services, etc.</w:t>
      </w:r>
    </w:p>
    <w:p>
      <w:pPr>
        <w:pStyle w:val="05textparagraph"/>
        <w:rPr/>
      </w:pPr>
      <w:r>
        <w:rPr/>
        <w:t>(5)</w:t>
        <w:tab/>
        <w:t xml:space="preserve">QSEs may only submit bids from that portion of any resource not used to provide capacity and energy to supply the resources in the QSE’s Balanced Schedule. </w:t>
      </w:r>
    </w:p>
    <w:p>
      <w:pPr>
        <w:pStyle w:val="05textparagraph"/>
        <w:rPr/>
      </w:pPr>
      <w:r>
        <w:rPr/>
        <w:t>(6)</w:t>
        <w:tab/>
        <w:t xml:space="preserve">Other than as specified for Congestion Management, ERCOT shall select Ancillary Services capacity based on the lowest Ancillary Service bids, including capacity bids for RGS Up, RGS Down, RRS, NSRS, and RPRS . For each of RGS Up, RGS Down, RRS, NSRS and RPRS, ERCOT will determine a MCPC for each settlement period as specified in Section 6.6. </w:t>
      </w:r>
    </w:p>
    <w:p>
      <w:pPr>
        <w:pStyle w:val="05textparagraph"/>
        <w:rPr/>
      </w:pPr>
      <w:r>
        <w:rPr/>
        <w:t>(7)</w:t>
        <w:tab/>
        <w:t>Other than as specified for Congestion Management, ERCOT shall dispatch energy from the Balancing Energy Service bids based on  energy bid prices and the requirements specified in Section 5.</w:t>
      </w:r>
    </w:p>
    <w:p>
      <w:pPr>
        <w:pStyle w:val="05textparagraph"/>
        <w:rPr/>
      </w:pPr>
      <w:r>
        <w:rPr/>
        <w:t>(8)</w:t>
        <w:tab/>
        <w:t>For Congestion Management, ERCOT shall first exhaust all feasible solutions available in the Commercial Model in accordance with Section6.6.3.</w:t>
      </w:r>
    </w:p>
    <w:p>
      <w:pPr>
        <w:pStyle w:val="05textparagraph"/>
        <w:rPr/>
      </w:pPr>
      <w:r>
        <w:rPr/>
        <w:t>(9)</w:t>
        <w:tab/>
        <w:t>ERCOT shall establish, through a competitive procurement process, long-term contracts with generators for resources needed to provide Black Start capability.</w:t>
      </w:r>
    </w:p>
    <w:p>
      <w:pPr>
        <w:pStyle w:val="05textparagraph"/>
        <w:rPr/>
      </w:pPr>
      <w:r>
        <w:rPr/>
      </w:r>
    </w:p>
    <w:p>
      <w:pPr>
        <w:pStyle w:val="Heading3"/>
        <w:numPr>
          <w:ilvl w:val="2"/>
          <w:numId w:val="18"/>
        </w:numPr>
        <w:ind w:hanging="0" w:start="0"/>
        <w:rPr/>
      </w:pPr>
      <w:r>
        <w:rPr/>
        <w:t>ERCOT Day-Ahead Ancillary Service Auctions</w:t>
      </w:r>
    </w:p>
    <w:p>
      <w:pPr>
        <w:pStyle w:val="Heading4"/>
        <w:numPr>
          <w:ilvl w:val="3"/>
          <w:numId w:val="18"/>
        </w:numPr>
        <w:ind w:hanging="0" w:start="0"/>
        <w:rPr/>
      </w:pPr>
      <w:r>
        <w:rPr/>
        <w:t>General Auction Requirements</w:t>
      </w:r>
    </w:p>
    <w:p>
      <w:pPr>
        <w:pStyle w:val="05textparagraph"/>
        <w:rPr/>
      </w:pPr>
      <w:r>
        <w:rPr/>
        <w:t>(1)</w:t>
        <w:tab/>
        <w:t xml:space="preserve">ERCOT shall conduct daily Day Ahead auctions for the purpose of procuring the quantities of resources as specified in the Ancillary Services plan  for all Operating Periods of the next Operating Day to provide Regulation Up, Regulation Down, Responsive Reserves, and Non-Spinning Reserves. </w:t>
      </w:r>
    </w:p>
    <w:p>
      <w:pPr>
        <w:pStyle w:val="05textparagraph"/>
        <w:rPr/>
      </w:pPr>
      <w:r>
        <w:rPr/>
        <w:t>(2)</w:t>
        <w:tab/>
        <w:t>ERCOT shall procure resources in the Day-Ahead market sequentially for each hour of the next Operating Day, in the following order: Regulation – Down, Regulation – Up, Responsive Reserves, and Non-Spinning Reserves.  ERCOT will also procure Replacement Reserves, if needed, subsequent to the close of the Day-Ahead market during the Adjustment Period.</w:t>
      </w:r>
    </w:p>
    <w:p>
      <w:pPr>
        <w:pStyle w:val="05textparagraph"/>
        <w:rPr/>
      </w:pPr>
      <w:r>
        <w:rPr/>
        <w:t>(3)</w:t>
        <w:tab/>
        <w:t>ERCOT will procure the amount of each service specified in the Ancillary Service Plan, less the amount Self-Arranged, without substituting one service for another different service.</w:t>
      </w:r>
    </w:p>
    <w:p>
      <w:pPr>
        <w:pStyle w:val="05textparagraph"/>
        <w:rPr/>
      </w:pPr>
      <w:r>
        <w:rPr/>
        <w:t>(4)</w:t>
        <w:tab/>
        <w:t>A QSE may offer the same resource capacity into any or all of the Ancillary Services markets simultaneously. A QSE may specify different capacity bids from a single resource for each of the Ancillary Service markets into which the resource is bid in compliance with the Scheduling Protocol.</w:t>
      </w:r>
    </w:p>
    <w:p>
      <w:pPr>
        <w:pStyle w:val="05textparagraph"/>
        <w:rPr/>
      </w:pPr>
      <w:r>
        <w:rPr/>
        <w:t>(5)</w:t>
        <w:tab/>
        <w:t>For each Ancillary Service procurement auction, ERCOT shall select capacity bids submitted to the auctions by QSEs, such that:</w:t>
      </w:r>
    </w:p>
    <w:p>
      <w:pPr>
        <w:pStyle w:val="16listlevel1"/>
        <w:numPr>
          <w:ilvl w:val="1"/>
          <w:numId w:val="10"/>
        </w:numPr>
        <w:rPr/>
      </w:pPr>
      <w:r>
        <w:rPr/>
        <w:t>After adjusting for Self-Arranged resources, the total amount of capacity procured by ERCOT meets the Ancillary Services Plan requirements;</w:t>
      </w:r>
    </w:p>
    <w:p>
      <w:pPr>
        <w:pStyle w:val="16listlevel1"/>
        <w:numPr>
          <w:ilvl w:val="1"/>
          <w:numId w:val="10"/>
        </w:numPr>
        <w:rPr/>
      </w:pPr>
      <w:r>
        <w:rPr/>
        <w:t>For each of RGS Up, RGS Down, RRS, and NSRS, bids will be arranged in ascending order.  For each of these Ancillary Services, ERCOT will procure required quantities by selecting capacity in ascending order starting from the lowest priced bid.  ERCOT will continue this selection process to obtain the required quantity of each of these Ancillary Services.  For each Ancillary Service, if selection of the marginal capacity block will exceed ERCOT’s required AS quantity, ERCOT will select a portion of this capacity block as the actual marginal AS quantity accepted.</w:t>
      </w:r>
    </w:p>
    <w:p>
      <w:pPr>
        <w:pStyle w:val="16listlevel1"/>
        <w:numPr>
          <w:ilvl w:val="1"/>
          <w:numId w:val="10"/>
        </w:numPr>
        <w:rPr/>
      </w:pPr>
      <w:r>
        <w:rPr/>
        <w:t xml:space="preserve">In the case where multiple bids have the same price for the selection of RGS Up, RGS Down, RRS and NSRS Ancillary Services, selection shall be proportioned.  </w:t>
      </w:r>
    </w:p>
    <w:p>
      <w:pPr>
        <w:pStyle w:val="05textparagraph"/>
        <w:rPr/>
      </w:pPr>
      <w:r>
        <w:rPr/>
        <w:t>(6)</w:t>
        <w:tab/>
        <w:t>ERCOT shall deduct any resource capacity accepted by ERCOT in one of the Ancillary Service procurement auctions from the capacity that is available for procurement in the subsequent Ancillary Service procurement auction.</w:t>
      </w:r>
    </w:p>
    <w:p>
      <w:pPr>
        <w:pStyle w:val="05textparagraph"/>
        <w:rPr/>
      </w:pPr>
      <w:r>
        <w:rPr/>
        <w:t>(7)</w:t>
        <w:tab/>
        <w:t xml:space="preserve">ERCOT shall determine an hourly MCPC for each of the following Day-Ahead Ancillary Service markets: Regulation Up, Regulation Down, Responsive Reserves and Non-Spinning Reserves. The hourly MCPC shall equal the highest-priced capacity reservation bid accepted by ERCOT for that Ancillary Service for the hour. </w:t>
      </w:r>
      <w:r>
        <mc:AlternateContent>
          <mc:Choice Requires="wps">
            <w:drawing>
              <wp:anchor behindDoc="0" distT="0" distB="0" distL="114935" distR="114935" simplePos="0" locked="0" layoutInCell="0" allowOverlap="1" relativeHeight="51">
                <wp:simplePos x="0" y="0"/>
                <wp:positionH relativeFrom="column">
                  <wp:posOffset>132715</wp:posOffset>
                </wp:positionH>
                <wp:positionV relativeFrom="paragraph">
                  <wp:posOffset>1771015</wp:posOffset>
                </wp:positionV>
                <wp:extent cx="5312410" cy="1289050"/>
                <wp:effectExtent l="0" t="0" r="0" b="0"/>
                <wp:wrapTopAndBottom/>
                <wp:docPr id="2" name="Frame1"/>
                <a:graphic xmlns:a="http://schemas.openxmlformats.org/drawingml/2006/main">
                  <a:graphicData uri="http://schemas.microsoft.com/office/word/2010/wordprocessingShape">
                    <wps:wsp>
                      <wps:cNvSpPr txBox="1"/>
                      <wps:spPr>
                        <a:xfrm>
                          <a:off x="0" y="0"/>
                          <a:ext cx="5312410" cy="1289050"/>
                        </a:xfrm>
                        <a:prstGeom prst="rect"/>
                        <a:solidFill>
                          <a:srgbClr val="FFFFFF"/>
                        </a:solidFill>
                        <a:ln w="9525">
                          <a:solidFill>
                            <a:srgbClr val="000000"/>
                          </a:solidFill>
                        </a:ln>
                      </wps:spPr>
                      <wps:txbx>
                        <w:txbxContent>
                          <w:p>
                            <w:pPr>
                              <w:pStyle w:val="05textparagraph"/>
                              <w:rPr/>
                            </w:pPr>
                            <w:r>
                              <w:rPr/>
                              <w:t>ERCOT’s computer system software will be capable of  using the MCPC for Non-Spinning Reserve as the MCPC for Regulation Up and/or the MCPC for Responsive Reserve. Similarly, the MCPC for Responsive Reserve could be used for Regulation Up.  ERCOT shall not substitute prices until a determination of the conditions to allow substitution of prices from one service to another is approved by the ERCOT Board.</w:t>
                            </w:r>
                          </w:p>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418.3pt;height:101.5pt;mso-wrap-distance-left:9.05pt;mso-wrap-distance-right:9.05pt;mso-wrap-distance-top:0pt;mso-wrap-distance-bottom:0pt;margin-top:139.45pt;mso-position-vertical-relative:text;margin-left:10.45pt;mso-position-horizontal-relative:text">
                <v:textbox>
                  <w:txbxContent>
                    <w:p>
                      <w:pPr>
                        <w:pStyle w:val="05textparagraph"/>
                        <w:rPr/>
                      </w:pPr>
                      <w:r>
                        <w:rPr/>
                        <w:t>ERCOT’s computer system software will be capable of  using the MCPC for Non-Spinning Reserve as the MCPC for Regulation Up and/or the MCPC for Responsive Reserve. Similarly, the MCPC for Responsive Reserve could be used for Regulation Up.  ERCOT shall not substitute prices until a determination of the conditions to allow substitution of prices from one service to another is approved by the ERCOT Board.</w:t>
                      </w:r>
                    </w:p>
                    <w:p>
                      <w:pPr>
                        <w:pStyle w:val="Normal"/>
                        <w:rPr/>
                      </w:pPr>
                      <w:r>
                        <w:rPr/>
                      </w:r>
                    </w:p>
                  </w:txbxContent>
                </v:textbox>
                <w10:wrap type="topAndBottom"/>
              </v:rect>
            </w:pict>
          </mc:Fallback>
        </mc:AlternateContent>
      </w:r>
    </w:p>
    <w:p>
      <w:pPr>
        <w:pStyle w:val="05textparagraph"/>
        <w:rPr/>
      </w:pPr>
      <w:r>
        <w:rPr/>
        <w:t>(8)</w:t>
        <w:tab/>
        <w:t xml:space="preserve">If the MCPC can not be calculated by ERCOT, the MCPC for the particular Ancillary Service shall be deemed to be equal to the MCPC for that Ancillary Service in the same Settlement Period of the preceding Operating Day. </w:t>
      </w:r>
    </w:p>
    <w:p>
      <w:pPr>
        <w:pStyle w:val="05textparagraph"/>
        <w:rPr/>
      </w:pPr>
      <w:r>
        <w:rPr/>
        <w:t>(9)</w:t>
        <w:tab/>
        <w:t>For each of RGS Up, RGS Down, RRS and NSRS, for each hour of the next Operating Day, ERCOT will post the quantity of capacity procured and the MCPC.</w:t>
      </w:r>
    </w:p>
    <w:p>
      <w:pPr>
        <w:pStyle w:val="Heading3"/>
        <w:numPr>
          <w:ilvl w:val="2"/>
          <w:numId w:val="18"/>
        </w:numPr>
        <w:ind w:hanging="0" w:start="0"/>
        <w:rPr/>
      </w:pPr>
      <w:r>
        <w:rPr/>
        <w:t>ERCOT Ancillary Services Procurement during Adjustment Period</w:t>
      </w:r>
    </w:p>
    <w:p>
      <w:pPr>
        <w:pStyle w:val="05textparagraph"/>
        <w:rPr/>
      </w:pPr>
      <w:r>
        <w:rPr/>
        <w:t>(1)</w:t>
        <w:tab/>
        <w:t>During the Adjustment Period, ERCOT may procure Replacement Reserves; or as a result of changing conditions, may procure additional Regulation Up, Regulation Down, Responsive and Non-Spinning Services, as appropriate for the conditions, in order to maintain system reliability. ERCOT may procure services to replace those previously awarded to a provider who has subsequently defaulted on his obligation.</w:t>
      </w:r>
    </w:p>
    <w:p>
      <w:pPr>
        <w:pStyle w:val="05textparagraph"/>
        <w:rPr/>
      </w:pPr>
      <w:r>
        <w:rPr/>
        <w:t>(2)</w:t>
        <w:tab/>
        <w:t>If ERCOT requires any Replacement Reserves; or additional Regulation, Responsive or Non-Spinning Services during the Adjustment Period, then ERCOT will implement the notification and bidding process for these services in accordance with Section 4.5.</w:t>
      </w:r>
    </w:p>
    <w:p>
      <w:pPr>
        <w:pStyle w:val="05textparagraph"/>
        <w:rPr/>
      </w:pPr>
      <w:r>
        <w:rPr/>
        <w:t>(3)</w:t>
        <w:tab/>
        <w:t xml:space="preserve">If ERCOT forecasts that there is insufficient capacity available to reliably serve system load in any settlement period, ERCOT will implement the notification and bidding process for Replacement Reserves or other Ancillary Services in accordance with Section 4.5. </w:t>
      </w:r>
    </w:p>
    <w:p>
      <w:pPr>
        <w:pStyle w:val="05textparagraph"/>
        <w:rPr/>
      </w:pPr>
      <w:r>
        <w:rPr/>
        <w:t>(4)</w:t>
        <w:tab/>
        <w:t>Upon notice from ERCOT for additional Ancillary Service bids, bids from those Ancillary Services requested will be accepted for a future hour or hours for the period of time remaining in the Adjustment Period in accordance with Section 4.5.</w:t>
      </w:r>
    </w:p>
    <w:p>
      <w:pPr>
        <w:pStyle w:val="Heading4"/>
        <w:numPr>
          <w:ilvl w:val="3"/>
          <w:numId w:val="18"/>
        </w:numPr>
        <w:ind w:hanging="0" w:start="0"/>
        <w:rPr/>
      </w:pPr>
      <w:r>
        <w:rPr/>
        <w:t>Specific Auction Requirements for Replacement Reserve Service in the Adjustment Period</w:t>
      </w:r>
    </w:p>
    <w:p>
      <w:pPr>
        <w:pStyle w:val="05textparagraph"/>
        <w:rPr/>
      </w:pPr>
      <w:r>
        <w:rPr/>
        <w:t>ERCOT shall procure Replacement Reserve Service (RPRS) in the AP as follows:</w:t>
      </w:r>
    </w:p>
    <w:p>
      <w:pPr>
        <w:pStyle w:val="05textparagraph"/>
        <w:rPr/>
      </w:pPr>
      <w:r>
        <w:rPr/>
        <w:t>(1)</w:t>
        <w:tab/>
        <w:t>ERCOT will evaluate Commercially Significant Constraint (CSC) Congestion, Operational Congestion, and capacity insufficiency using ERCOT’s Operational Model, balanced QSE schedules, Resource Plans and ERCOT forecast of next day load.</w:t>
      </w:r>
    </w:p>
    <w:p>
      <w:pPr>
        <w:pStyle w:val="05textparagraph"/>
        <w:numPr>
          <w:ilvl w:val="0"/>
          <w:numId w:val="10"/>
        </w:numPr>
        <w:tabs>
          <w:tab w:val="clear" w:pos="720"/>
        </w:tabs>
        <w:ind w:hanging="0" w:start="0" w:end="0"/>
        <w:rPr/>
      </w:pPr>
      <w:r>
        <w:rPr/>
        <w:t xml:space="preserve">ERCOT will define the level of resources available to meet next-day reliability needs of the ERCOT System based on QSE schedule submissions, Resource Plans and ERCOT load forecast. ERCOT will determine  incremental resource capacity available from generating units that are off-line, or generating units that are expected to be off-line in the requested hours or loads acting as a resource shown as available in the Resource Plans. </w:t>
      </w:r>
    </w:p>
    <w:p>
      <w:pPr>
        <w:pStyle w:val="05textparagraph"/>
        <w:numPr>
          <w:ilvl w:val="0"/>
          <w:numId w:val="10"/>
        </w:numPr>
        <w:tabs>
          <w:tab w:val="clear" w:pos="720"/>
        </w:tabs>
        <w:ind w:hanging="0" w:start="0" w:end="0"/>
        <w:rPr/>
      </w:pPr>
      <w:r>
        <w:rPr/>
        <w:t>After determining the period of time the RPRS will be needed, ERCOT shall form the RPRS bid from each resource. ERCOT will divide the capacity  price component of the QSEs bid by the number of hours the resource is needed and add the result to the QSEs hourly price of capacity. This forms the resource bid price that will be used in all determinations of bid award for RPRS.</w:t>
      </w:r>
    </w:p>
    <w:p>
      <w:pPr>
        <w:pStyle w:val="16listlevel1"/>
        <w:numPr>
          <w:ilvl w:val="0"/>
          <w:numId w:val="0"/>
        </w:numPr>
        <w:tabs>
          <w:tab w:val="clear" w:pos="720"/>
          <w:tab w:val="left" w:pos="360" w:leader="none"/>
        </w:tabs>
        <w:ind w:hanging="0" w:start="0"/>
        <w:rPr/>
      </w:pPr>
      <w:r>
        <w:rPr/>
        <w:t>RPRS procurement produces a solution that resolves capacity inadequacy, CSC and Operational Congestion problems simultaneously.  The solution of the RPRS is a result of ERCOT performing analysis of the current physical system operations for each hour to recognize potential transmission constraints that would require resources not currently planned to be available. The purpose of the RPRS procurement is to solve the system security violations using the following general methods:</w:t>
      </w:r>
    </w:p>
    <w:p>
      <w:pPr>
        <w:pStyle w:val="16listlevel1"/>
        <w:numPr>
          <w:ilvl w:val="0"/>
          <w:numId w:val="33"/>
        </w:numPr>
        <w:rPr/>
      </w:pPr>
      <w:r>
        <w:rPr/>
        <w:t>ERCOT System capacity insufficiency using any RPRS bid;</w:t>
      </w:r>
    </w:p>
    <w:p>
      <w:pPr>
        <w:pStyle w:val="16listlevel1"/>
        <w:numPr>
          <w:ilvl w:val="0"/>
          <w:numId w:val="33"/>
        </w:numPr>
        <w:rPr/>
      </w:pPr>
      <w:r>
        <w:rPr/>
        <w:t xml:space="preserve">CSC Congestion using annual average Shift Factors, as determined in the Commercial Model, of resources bid in a Congestion Management zone for RPRS and the current physical system operations on the CSC; and </w:t>
      </w:r>
    </w:p>
    <w:p>
      <w:pPr>
        <w:pStyle w:val="16listlevel1"/>
        <w:numPr>
          <w:ilvl w:val="0"/>
          <w:numId w:val="33"/>
        </w:numPr>
        <w:rPr/>
      </w:pPr>
      <w:r>
        <w:rPr/>
        <w:t xml:space="preserve">Operational Congestion using actual Shift Factors of resources bid for RPRS and the current physical system operations in the ERCOT System. </w:t>
      </w:r>
    </w:p>
    <w:p>
      <w:pPr>
        <w:pStyle w:val="BodyText"/>
        <w:rPr/>
      </w:pPr>
      <w:r>
        <w:rPr>
          <w:i w:val="false"/>
          <w:rPrChange w:id="0" w:author="Unknown" w:date="2000-07-15T10:17:00Z"/>
        </w:rPr>
        <w:t>ERCOT</w:t>
      </w:r>
      <w:r>
        <w:rPr>
          <w:i w:val="false"/>
          <w:rPrChange w:id="0" w:author="Unknown" w:date="0-00-00T00:00:00Z"/>
        </w:rPr>
        <w:t xml:space="preserve"> will solve </w:t>
      </w:r>
      <w:r>
        <w:rPr>
          <w:i w:val="false"/>
          <w:rPrChange w:id="0" w:author="Barry Huddleston" w:date="2000-07-15T10:17:00Z"/>
        </w:rPr>
        <w:t xml:space="preserve">security </w:t>
      </w:r>
      <w:r>
        <w:rPr>
          <w:i w:val="false"/>
          <w:rPrChange w:id="0" w:author="Unknown" w:date="0-00-00T00:00:00Z"/>
        </w:rPr>
        <w:t xml:space="preserve">violations using a </w:t>
      </w:r>
      <w:r>
        <w:rPr>
          <w:i w:val="false"/>
          <w:rPrChange w:id="0" w:author="Barry Huddleston" w:date="2000-07-15T10:17:00Z"/>
        </w:rPr>
        <w:t xml:space="preserve">transmission </w:t>
      </w:r>
      <w:r>
        <w:rPr>
          <w:i w:val="false"/>
          <w:rPrChange w:id="0" w:author="Unknown" w:date="0-00-00T00:00:00Z"/>
        </w:rPr>
        <w:t xml:space="preserve">security-constrained mathematical </w:t>
      </w:r>
      <w:r>
        <w:rPr>
          <w:i w:val="false"/>
          <w:rPrChange w:id="0" w:author="Barry Huddleston" w:date="2000-07-15T10:17:00Z"/>
        </w:rPr>
        <w:t>o</w:t>
      </w:r>
      <w:r>
        <w:rPr>
          <w:i w:val="false"/>
          <w:rPrChange w:id="0" w:author="Unknown" w:date="0-00-00T00:00:00Z"/>
        </w:rPr>
        <w:t>ptimization application.  The application will solve as if each bid can be proportioned into individual MW bids. The objective of the optimization is to minimize the cost of the bid</w:t>
      </w:r>
      <w:r>
        <w:rPr>
          <w:i w:val="false"/>
          <w:rPrChange w:id="0" w:author="Barry Huddleston" w:date="2000-07-15T10:17:00Z"/>
        </w:rPr>
        <w:t>-</w:t>
      </w:r>
      <w:r>
        <w:rPr>
          <w:i w:val="false"/>
          <w:rPrChange w:id="0" w:author="Unknown" w:date="0-00-00T00:00:00Z"/>
        </w:rPr>
        <w:t xml:space="preserve">weighted resource capacity </w:t>
      </w:r>
      <w:r>
        <w:rPr>
          <w:i w:val="false"/>
          <w:rPrChange w:id="0" w:author="Barry Huddleston" w:date="2000-07-15T10:17:00Z"/>
        </w:rPr>
        <w:t xml:space="preserve">while </w:t>
      </w:r>
      <w:r>
        <w:rPr>
          <w:i w:val="false"/>
          <w:rPrChange w:id="0" w:author="Unknown" w:date="0-00-00T00:00:00Z"/>
        </w:rPr>
        <w:t>satisfying all the security constraints</w:t>
      </w:r>
      <w:r>
        <w:rPr>
          <w:i w:val="false"/>
          <w:rPrChange w:id="0" w:author="Barry Huddleston" w:date="2000-07-15T10:17:00Z"/>
        </w:rPr>
        <w:t>.</w:t>
        <w:rPrChange w:id="0" w:author="Barry Huddleston" w:date="2000-07-15T10:17:00Z"/>
      </w:r>
    </w:p>
    <w:p>
      <w:pPr>
        <w:pStyle w:val="BodyText"/>
        <w:rPr>
          <w:i w:val="false"/>
          <w:i w:val="false"/>
          <w:lang w:val="es-CO"/>
        </w:rPr>
      </w:pPr>
      <w:r>
        <w:rPr>
          <w:i w:val="false"/>
          <w:lang w:val="es-CO"/>
          <w:rPrChange w:id="0" w:author="Unknown" w:date="0-00-00T00:00:00Z"/>
        </w:rPr>
        <w:rPrChange w:id="0" w:author="Unknown" w:date="0-00-00T00:00:00Z"/>
      </w:r>
    </w:p>
    <w:p>
      <w:pPr>
        <w:pStyle w:val="16listlevel1"/>
        <w:numPr>
          <w:ilvl w:val="0"/>
          <w:numId w:val="0"/>
        </w:numPr>
        <w:ind w:hanging="0" w:start="0"/>
        <w:rPr/>
      </w:pPr>
      <w:r>
        <w:rPr/>
        <w:t xml:space="preserve">In the event there is an insufficient amount of RPRS bids submitted to provide a Market Solution to the system security violations, ERCOT will use OOMC to acquire the needed capacity. </w:t>
      </w:r>
    </w:p>
    <w:p>
      <w:pPr>
        <w:pStyle w:val="BodyText"/>
        <w:rPr/>
      </w:pPr>
      <w:r>
        <w:rPr>
          <w:i w:val="false"/>
          <w:rPrChange w:id="0" w:author="Unknown" w:date="0-00-00T00:00:00Z"/>
        </w:rPr>
        <w:t>The costs associated with resolving system security violations will be identified separately into the following categories: capacity inadequacy, CSC using annual</w:t>
      </w:r>
      <w:r>
        <w:rPr>
          <w:i w:val="false"/>
          <w:rPrChange w:id="0" w:author="Unknown" w:date="2000-07-15T10:17:00Z"/>
        </w:rPr>
        <w:t xml:space="preserve"> average</w:t>
      </w:r>
      <w:r>
        <w:rPr>
          <w:i w:val="false"/>
          <w:rPrChange w:id="0" w:author="Unknown" w:date="0-00-00T00:00:00Z"/>
        </w:rPr>
        <w:t xml:space="preserve"> </w:t>
      </w:r>
      <w:r>
        <w:rPr>
          <w:i w:val="false"/>
          <w:rPrChange w:id="0" w:author="Unknown" w:date="2000-07-15T10:17:00Z"/>
        </w:rPr>
        <w:t>Shift Factor</w:t>
      </w:r>
      <w:r>
        <w:rPr>
          <w:i w:val="false"/>
          <w:rPrChange w:id="0" w:author="Unknown" w:date="0-00-00T00:00:00Z"/>
        </w:rPr>
        <w:t xml:space="preserve">s </w:t>
      </w:r>
      <w:r>
        <w:rPr>
          <w:i w:val="false"/>
          <w:rPrChange w:id="0" w:author="Unknown" w:date="2000-07-15T10:17:00Z"/>
        </w:rPr>
        <w:t xml:space="preserve">from the Commercial Model </w:t>
      </w:r>
      <w:r>
        <w:rPr>
          <w:i w:val="false"/>
          <w:rPrChange w:id="0" w:author="Unknown" w:date="0-00-00T00:00:00Z"/>
        </w:rPr>
        <w:t xml:space="preserve">and assuming all transmission equipment in service, CSC </w:t>
      </w:r>
      <w:r>
        <w:rPr>
          <w:i w:val="false"/>
          <w:rPrChange w:id="0" w:author="Unknown" w:date="2000-07-15T10:17:00Z"/>
        </w:rPr>
        <w:t>C</w:t>
      </w:r>
      <w:r>
        <w:rPr>
          <w:i w:val="false"/>
          <w:rPrChange w:id="0" w:author="Unknown" w:date="0-00-00T00:00:00Z"/>
        </w:rPr>
        <w:t xml:space="preserve">ongestion using current physical system operations, and </w:t>
      </w:r>
      <w:r>
        <w:rPr>
          <w:i w:val="false"/>
          <w:rPrChange w:id="0" w:author="Unknown" w:date="2000-07-15T10:17:00Z"/>
        </w:rPr>
        <w:t>O</w:t>
      </w:r>
      <w:r>
        <w:rPr>
          <w:i w:val="false"/>
          <w:rPrChange w:id="0" w:author="Unknown" w:date="0-00-00T00:00:00Z"/>
        </w:rPr>
        <w:t xml:space="preserve">perational </w:t>
      </w:r>
      <w:r>
        <w:rPr>
          <w:i w:val="false"/>
          <w:rPrChange w:id="0" w:author="Unknown" w:date="2000-07-15T10:17:00Z"/>
        </w:rPr>
        <w:t>C</w:t>
      </w:r>
      <w:r>
        <w:rPr>
          <w:i w:val="false"/>
          <w:rPrChange w:id="0" w:author="Unknown" w:date="0-00-00T00:00:00Z"/>
        </w:rPr>
        <w:t xml:space="preserve">ongestion. </w:t>
      </w:r>
    </w:p>
    <w:p>
      <w:pPr>
        <w:pStyle w:val="BodyText"/>
        <w:rPr>
          <w:i w:val="false"/>
          <w:i w:val="false"/>
        </w:rPr>
      </w:pPr>
      <w:r>
        <w:rPr>
          <w:i w:val="false"/>
          <w:rPrChange w:id="0" w:author="Unknown" w:date="0-00-00T00:00:00Z"/>
        </w:rPr>
      </w:r>
    </w:p>
    <w:p>
      <w:pPr>
        <w:pStyle w:val="16listlevel1"/>
        <w:numPr>
          <w:ilvl w:val="0"/>
          <w:numId w:val="0"/>
        </w:numPr>
        <w:ind w:hanging="0" w:start="0"/>
        <w:rPr/>
      </w:pPr>
      <w:r>
        <w:rPr/>
        <w:t>The market clearing prices on the capacity insufficiency, CSC constraint and operational constraint will represent the marginal cost for the solution of each constraint and will be produced as an output of the mathematical optimization application.  The output of the application will be as follows:</w:t>
      </w:r>
    </w:p>
    <w:p>
      <w:pPr>
        <w:pStyle w:val="16listlevel1"/>
        <w:numPr>
          <w:ilvl w:val="0"/>
          <w:numId w:val="0"/>
        </w:numPr>
        <w:ind w:hanging="0" w:start="0"/>
        <w:rPr/>
      </w:pPr>
      <w:r>
        <w:rPr/>
      </w:r>
    </w:p>
    <w:p>
      <w:pPr>
        <w:pStyle w:val="16listlevel1"/>
        <w:numPr>
          <w:ilvl w:val="0"/>
          <w:numId w:val="11"/>
        </w:numPr>
        <w:ind w:hanging="0" w:start="0"/>
        <w:rPr/>
      </w:pPr>
      <w:r>
        <w:rPr/>
        <w:t>The marginal cost (shadow price of the power balance constraint) to solve system insufficiency defines MCPC for insufficiency.</w:t>
      </w:r>
    </w:p>
    <w:p>
      <w:pPr>
        <w:pStyle w:val="16listlevel1"/>
        <w:numPr>
          <w:ilvl w:val="0"/>
          <w:numId w:val="11"/>
        </w:numPr>
        <w:ind w:hanging="0" w:start="0"/>
        <w:rPr/>
      </w:pPr>
      <w:r>
        <w:rPr/>
        <w:t>The marginal cost (shadow price of the annual CSC constraint) to solve annual  CSC constraint from the Commercial Model defines the congestion price of the commercial CSC constraint.</w:t>
      </w:r>
    </w:p>
    <w:p>
      <w:pPr>
        <w:pStyle w:val="16listlevel1"/>
        <w:numPr>
          <w:ilvl w:val="0"/>
          <w:numId w:val="11"/>
        </w:numPr>
        <w:ind w:hanging="0" w:start="0"/>
        <w:rPr/>
      </w:pPr>
      <w:r>
        <w:rPr/>
        <w:t>The marginal cost (shadow price of the operating CSC constraint) to solve current physical operating CSC constraint defines the congestion price of the operating CSC constraint.</w:t>
      </w:r>
    </w:p>
    <w:p>
      <w:pPr>
        <w:pStyle w:val="16listlevel1"/>
        <w:numPr>
          <w:ilvl w:val="0"/>
          <w:numId w:val="11"/>
        </w:numPr>
        <w:ind w:hanging="0" w:start="0"/>
        <w:rPr/>
      </w:pPr>
      <w:r>
        <w:rPr/>
        <w:t xml:space="preserve">The marginal cost (shadow price of the operational constraint) to solve an operational constraint defines the congestion price of the operational constraint. </w:t>
      </w:r>
    </w:p>
    <w:p>
      <w:pPr>
        <w:pStyle w:val="16listlevel1"/>
        <w:numPr>
          <w:ilvl w:val="0"/>
          <w:numId w:val="11"/>
        </w:numPr>
        <w:ind w:hanging="0" w:start="0"/>
        <w:rPr/>
      </w:pPr>
      <w:r>
        <w:rPr/>
        <w:t>The bidder of RPRS is paid the MCPC of the Congestion Zone unless the bid  has been selected to solve Operational Congestion. RPRS bidders whose bids are  taken to solve Operational Congestion are  paid as bid subject to a Market Solution existing to clear the Operational Congestion.  The bidder is paid the OOMC  price if a Market Solution does not exist.</w:t>
      </w:r>
    </w:p>
    <w:p>
      <w:pPr>
        <w:pStyle w:val="05textparagraph"/>
        <w:rPr/>
      </w:pPr>
      <w:r>
        <w:rPr/>
      </w:r>
    </w:p>
    <w:p>
      <w:pPr>
        <w:pStyle w:val="16listlevel1"/>
        <w:numPr>
          <w:ilvl w:val="0"/>
          <w:numId w:val="11"/>
        </w:numPr>
        <w:ind w:hanging="0" w:start="0"/>
        <w:rPr/>
      </w:pPr>
      <w:r>
        <w:rPr/>
        <w:t xml:space="preserve">The allocation of these costs paid to QSEs is as follows: </w:t>
      </w:r>
    </w:p>
    <w:p>
      <w:pPr>
        <w:pStyle w:val="BodyText"/>
        <w:numPr>
          <w:ilvl w:val="0"/>
          <w:numId w:val="9"/>
        </w:numPr>
        <w:rPr>
          <w:i w:val="false"/>
          <w:i w:val="false"/>
        </w:rPr>
      </w:pPr>
      <w:r>
        <w:rPr>
          <w:i w:val="false"/>
          <w:rPrChange w:id="0" w:author="Unknown" w:date="0-00-00T00:00:00Z"/>
        </w:rPr>
        <w:rPrChange w:id="0" w:author="Unknown" w:date="0-00-00T00:00:00Z"/>
      </w:r>
    </w:p>
    <w:p>
      <w:pPr>
        <w:pStyle w:val="BodyText"/>
        <w:ind w:start="1080" w:end="0"/>
        <w:rPr/>
      </w:pPr>
      <w:r>
        <w:rPr>
          <w:i w:val="false"/>
          <w:rPrChange w:id="0" w:author="Unknown" w:date="0-00-00T00:00:00Z"/>
        </w:rPr>
        <w:t xml:space="preserve">The </w:t>
      </w:r>
      <w:r>
        <w:rPr>
          <w:i w:val="false"/>
          <w:rPrChange w:id="0" w:author="Unknown" w:date="2000-07-15T10:50:00Z"/>
        </w:rPr>
        <w:t xml:space="preserve">product of the </w:t>
      </w:r>
      <w:r>
        <w:rPr>
          <w:i w:val="false"/>
          <w:rPrChange w:id="0" w:author="Unknown" w:date="0-00-00T00:00:00Z"/>
        </w:rPr>
        <w:t xml:space="preserve">MCPC </w:t>
      </w:r>
      <w:r>
        <w:rPr>
          <w:i w:val="false"/>
          <w:rPrChange w:id="0" w:author="Unknown" w:date="2000-07-15T10:50:00Z"/>
        </w:rPr>
        <w:t xml:space="preserve">multiplied by the amount of </w:t>
      </w:r>
      <w:r>
        <w:rPr>
          <w:i w:val="false"/>
          <w:rPrChange w:id="0" w:author="Unknown" w:date="0-00-00T00:00:00Z"/>
        </w:rPr>
        <w:t xml:space="preserve">capacity insufficiency </w:t>
      </w:r>
      <w:r>
        <w:rPr>
          <w:i w:val="false"/>
          <w:rPrChange w:id="0" w:author="Unknown" w:date="2000-07-15T10:50:00Z"/>
        </w:rPr>
        <w:t>of</w:t>
      </w:r>
      <w:r>
        <w:rPr>
          <w:i w:val="false"/>
          <w:rPrChange w:id="0" w:author="Unknown" w:date="0-00-00T00:00:00Z"/>
        </w:rPr>
        <w:t xml:space="preserve"> each QSE</w:t>
      </w:r>
      <w:r>
        <w:rPr>
          <w:i w:val="false"/>
          <w:rPrChange w:id="0" w:author="Unknown" w:date="2000-07-15T10:50:00Z"/>
        </w:rPr>
        <w:t>.  The insufficiency will be</w:t>
      </w:r>
      <w:r>
        <w:rPr>
          <w:i w:val="false"/>
          <w:rPrChange w:id="0" w:author="Unknown" w:date="0-00-00T00:00:00Z"/>
        </w:rPr>
        <w:t xml:space="preserve"> based on the interval for the hour with the greatest difference between the actual load and the amount scheduled at 1</w:t>
      </w:r>
      <w:r>
        <w:rPr>
          <w:i w:val="false"/>
          <w:rPrChange w:id="0" w:author="Unknown" w:date="2000-07-15T10:50:00Z"/>
        </w:rPr>
        <w:t>3</w:t>
      </w:r>
      <w:r>
        <w:rPr>
          <w:i w:val="false"/>
          <w:rPrChange w:id="0" w:author="Unknown" w:date="0-00-00T00:00:00Z"/>
        </w:rPr>
        <w:t xml:space="preserve">00 or 30 minutes after </w:t>
      </w:r>
      <w:r>
        <w:rPr>
          <w:i w:val="false"/>
          <w:rPrChange w:id="0" w:author="Unknown" w:date="2000-07-15T10:50:00Z"/>
        </w:rPr>
        <w:t>ERCOT</w:t>
      </w:r>
      <w:r>
        <w:rPr>
          <w:i w:val="false"/>
          <w:rPrChange w:id="0" w:author="Unknown" w:date="0-00-00T00:00:00Z"/>
        </w:rPr>
        <w:t xml:space="preserve"> provides notice of procurement of RPRS. </w:t>
      </w:r>
    </w:p>
    <w:p>
      <w:pPr>
        <w:pStyle w:val="BodyText"/>
        <w:ind w:start="1080" w:end="0"/>
        <w:rPr>
          <w:i w:val="false"/>
          <w:i w:val="false"/>
        </w:rPr>
      </w:pPr>
      <w:r>
        <w:rPr>
          <w:i w:val="false"/>
          <w:rPrChange w:id="0" w:author="Unknown" w:date="0-00-00T00:00:00Z"/>
        </w:rPr>
      </w:r>
    </w:p>
    <w:p>
      <w:pPr>
        <w:pStyle w:val="BodyText"/>
        <w:numPr>
          <w:ilvl w:val="0"/>
          <w:numId w:val="27"/>
        </w:numPr>
        <w:tabs>
          <w:tab w:val="clear" w:pos="720"/>
          <w:tab w:val="left" w:pos="1440" w:leader="none"/>
        </w:tabs>
        <w:ind w:hanging="360" w:start="450" w:end="0"/>
        <w:rPr>
          <w:i w:val="false"/>
          <w:i w:val="false"/>
        </w:rPr>
      </w:pPr>
      <w:r>
        <w:rPr>
          <w:i w:val="false"/>
          <w:rPrChange w:id="0" w:author="Unknown" w:date="0-00-00T00:00:00Z"/>
        </w:rPr>
      </w:r>
    </w:p>
    <w:p>
      <w:pPr>
        <w:pStyle w:val="Normal"/>
        <w:tabs>
          <w:tab w:val="clear" w:pos="720"/>
          <w:tab w:val="left" w:pos="1080" w:leader="none"/>
          <w:tab w:val="right" w:pos="1260" w:leader="none"/>
          <w:tab w:val="right" w:pos="2160" w:leader="none"/>
        </w:tabs>
        <w:ind w:hanging="1080" w:start="1080" w:end="0"/>
        <w:rPr/>
      </w:pPr>
      <w:r>
        <w:rPr/>
        <w:tab/>
        <w:t>The MCPC for Commercial Model CSC Congestion will be allocated to the System Congestion Fund based on the amount of capacity required to solve Commercial Model CSC congestion.  The allocation will continue until the limit of the System Congestion Fund ($20M) is exceeded, then uplifted thereafter until a directive is implemented by the ERCOT Board.  The System Congestion Fund will be collected from the QSEs representing load based on the entity’s load relative to the total ERCOT load.  After implementation of a zonal model, the annual CSC congestion will be allocated to entities whose schedules have impacts on an annual CSC according to the Commercial Model and do not schedule TCRs at the rate of their impact.</w:t>
      </w:r>
    </w:p>
    <w:p>
      <w:pPr>
        <w:pStyle w:val="Normal"/>
        <w:tabs>
          <w:tab w:val="clear" w:pos="720"/>
          <w:tab w:val="left" w:pos="1080" w:leader="none"/>
          <w:tab w:val="right" w:pos="1260" w:leader="none"/>
          <w:tab w:val="right" w:pos="2160" w:leader="none"/>
        </w:tabs>
        <w:ind w:hanging="1080" w:start="1080" w:end="0"/>
        <w:rPr/>
      </w:pPr>
      <w:r>
        <w:rPr/>
      </w:r>
    </w:p>
    <w:p>
      <w:pPr>
        <w:pStyle w:val="BodyText"/>
        <w:ind w:start="1080" w:end="0"/>
        <w:rPr/>
      </w:pPr>
      <w:r>
        <w:rPr>
          <w:i w:val="false"/>
          <w:rPrChange w:id="0" w:author="Unknown" w:date="0-00-00T00:00:00Z"/>
        </w:rPr>
        <w:t xml:space="preserve">The </w:t>
      </w:r>
      <w:r>
        <w:rPr>
          <w:i w:val="false"/>
          <w:rPrChange w:id="0" w:author="Unknown" w:date="2000-07-15T10:50:00Z"/>
        </w:rPr>
        <w:t xml:space="preserve">costs of resolving </w:t>
      </w:r>
      <w:r>
        <w:rPr>
          <w:i w:val="false"/>
          <w:rPrChange w:id="0" w:author="Unknown" w:date="0-00-00T00:00:00Z"/>
        </w:rPr>
        <w:t xml:space="preserve"> physical operating CSC </w:t>
      </w:r>
      <w:r>
        <w:rPr>
          <w:i w:val="false"/>
          <w:rPrChange w:id="0" w:author="Unknown" w:date="2000-07-15T10:50:00Z"/>
        </w:rPr>
        <w:t>C</w:t>
      </w:r>
      <w:r>
        <w:rPr>
          <w:i w:val="false"/>
          <w:rPrChange w:id="0" w:author="Unknown" w:date="0-00-00T00:00:00Z"/>
        </w:rPr>
        <w:t xml:space="preserve">ongestion </w:t>
      </w:r>
      <w:r>
        <w:rPr>
          <w:i w:val="false"/>
          <w:rPrChange w:id="0" w:author="Unknown" w:date="2000-07-15T10:50:00Z"/>
        </w:rPr>
        <w:t xml:space="preserve">are </w:t>
      </w:r>
      <w:r>
        <w:rPr>
          <w:i w:val="false"/>
          <w:rPrChange w:id="0" w:author="Unknown" w:date="0-00-00T00:00:00Z"/>
        </w:rPr>
        <w:t xml:space="preserve">based on the amount of capacity required to solve operating CSC </w:t>
      </w:r>
      <w:r>
        <w:rPr>
          <w:i w:val="false"/>
          <w:rPrChange w:id="0" w:author="Unknown" w:date="2000-07-15T10:50:00Z"/>
        </w:rPr>
        <w:t>C</w:t>
      </w:r>
      <w:r>
        <w:rPr>
          <w:i w:val="false"/>
          <w:rPrChange w:id="0" w:author="Unknown" w:date="0-00-00T00:00:00Z"/>
        </w:rPr>
        <w:t xml:space="preserve">ongestion minus </w:t>
      </w:r>
      <w:r>
        <w:rPr>
          <w:i w:val="false"/>
          <w:rPrChange w:id="0" w:author="Unknown" w:date="2000-07-15T10:50:00Z"/>
        </w:rPr>
        <w:t>Commercial Model</w:t>
      </w:r>
      <w:r>
        <w:rPr>
          <w:i w:val="false"/>
          <w:rPrChange w:id="0" w:author="Unknown" w:date="0-00-00T00:00:00Z"/>
        </w:rPr>
        <w:t xml:space="preserve"> CSC </w:t>
      </w:r>
      <w:r>
        <w:rPr>
          <w:i w:val="false"/>
          <w:rPrChange w:id="0" w:author="Unknown" w:date="2000-07-15T10:50:00Z"/>
        </w:rPr>
        <w:t>C</w:t>
      </w:r>
      <w:r>
        <w:rPr>
          <w:i w:val="false"/>
          <w:rPrChange w:id="0" w:author="Unknown" w:date="0-00-00T00:00:00Z"/>
        </w:rPr>
        <w:t>ongestion cost</w:t>
      </w:r>
      <w:r>
        <w:rPr>
          <w:i w:val="false"/>
          <w:rPrChange w:id="0" w:author="Unknown" w:date="2000-07-15T10:50:00Z"/>
        </w:rPr>
        <w:t xml:space="preserve">.  This cost </w:t>
      </w:r>
      <w:r>
        <w:rPr>
          <w:i w:val="false"/>
          <w:rPrChange w:id="0" w:author="Unknown" w:date="0-00-00T00:00:00Z"/>
        </w:rPr>
        <w:t>will be allocated to all QSEs based on the load represented by that entity relative to the total ERCOT load for the relevant period.</w:t>
      </w:r>
    </w:p>
    <w:p>
      <w:pPr>
        <w:pStyle w:val="BodyText"/>
        <w:ind w:start="1080" w:end="0"/>
        <w:rPr>
          <w:i w:val="false"/>
          <w:i w:val="false"/>
        </w:rPr>
      </w:pPr>
      <w:r>
        <w:rPr>
          <w:i w:val="false"/>
          <w:rPrChange w:id="0" w:author="Unknown" w:date="0-00-00T00:00:00Z"/>
        </w:rPr>
      </w:r>
    </w:p>
    <w:p>
      <w:pPr>
        <w:pStyle w:val="BodyText"/>
        <w:numPr>
          <w:ilvl w:val="0"/>
          <w:numId w:val="19"/>
        </w:numPr>
        <w:rPr>
          <w:i w:val="false"/>
          <w:i w:val="false"/>
        </w:rPr>
      </w:pPr>
      <w:r>
        <w:rPr>
          <w:i w:val="false"/>
          <w:rPrChange w:id="0" w:author="Unknown" w:date="0-00-00T00:00:00Z"/>
        </w:rPr>
      </w:r>
    </w:p>
    <w:p>
      <w:pPr>
        <w:pStyle w:val="List"/>
        <w:tabs>
          <w:tab w:val="clear" w:pos="360"/>
        </w:tabs>
        <w:ind w:hanging="0" w:start="1080" w:end="0"/>
        <w:rPr/>
      </w:pPr>
      <w:r>
        <w:rPr/>
        <w:t xml:space="preserve">The costs of resolving Operational Congestion are based on the amount of capacity required to solve Operational Congestion.  This cost will be allocated to all QSEs based on the load represented by that entity relative to the total ERCOT load for the relevant period.  This cost will be tracked by specific constraint to aid the determination of the potential addition to the constraint as a CSC. </w:t>
      </w:r>
    </w:p>
    <w:p>
      <w:pPr>
        <w:pStyle w:val="List"/>
        <w:tabs>
          <w:tab w:val="clear" w:pos="360"/>
        </w:tabs>
        <w:ind w:hanging="0" w:start="1080" w:end="0"/>
        <w:rPr/>
      </w:pPr>
      <w:r>
        <w:rPr/>
      </w:r>
    </w:p>
    <w:p>
      <w:pPr>
        <w:pStyle w:val="List"/>
        <w:numPr>
          <w:ilvl w:val="0"/>
          <w:numId w:val="20"/>
        </w:numPr>
        <w:ind w:hanging="360" w:start="450" w:end="0"/>
        <w:rPr/>
      </w:pPr>
      <w:r>
        <w:rPr/>
        <w:t>Cost of RPRS not identified by a marginal cost from the optimization application</w:t>
      </w:r>
    </w:p>
    <w:p>
      <w:pPr>
        <w:pStyle w:val="List"/>
        <w:tabs>
          <w:tab w:val="clear" w:pos="360"/>
        </w:tabs>
        <w:ind w:start="1080" w:end="0"/>
        <w:rPr/>
      </w:pPr>
      <w:r>
        <w:rPr/>
      </w:r>
    </w:p>
    <w:p>
      <w:pPr>
        <w:pStyle w:val="BodyText"/>
        <w:ind w:start="1080" w:end="0"/>
        <w:rPr/>
      </w:pPr>
      <w:r>
        <w:rPr>
          <w:i w:val="false"/>
          <w:rPrChange w:id="0" w:author="Unknown" w:date="0-00-00T00:00:00Z"/>
        </w:rPr>
        <w:t xml:space="preserve">If all of the cost of RPRS is not allocated by one of the above </w:t>
      </w:r>
      <w:r>
        <w:rPr>
          <w:i w:val="false"/>
          <w:rPrChange w:id="0" w:author="Unknown" w:date="2000-07-15T10:50:00Z"/>
        </w:rPr>
        <w:t xml:space="preserve">methods </w:t>
      </w:r>
      <w:r>
        <w:rPr>
          <w:i w:val="false"/>
          <w:rPrChange w:id="0" w:author="Unknown" w:date="0-00-00T00:00:00Z"/>
        </w:rPr>
        <w:t xml:space="preserve">then the allocation will be uplifted to all QSEs based on the load represented by that entity relative to the total ERCOT load for the relevant period. If </w:t>
      </w:r>
      <w:r>
        <w:rPr>
          <w:i w:val="false"/>
          <w:rPrChange w:id="0" w:author="Unknown" w:date="2000-07-15T10:50:00Z"/>
        </w:rPr>
        <w:t>ERCOT</w:t>
      </w:r>
      <w:r>
        <w:rPr>
          <w:i w:val="false"/>
          <w:rPrChange w:id="0" w:author="Unknown" w:date="0-00-00T00:00:00Z"/>
        </w:rPr>
        <w:t xml:space="preserve"> collects more R</w:t>
      </w:r>
      <w:r>
        <w:rPr>
          <w:i w:val="false"/>
          <w:rPrChange w:id="0" w:author="Unknown" w:date="2000-07-15T10:50:00Z"/>
        </w:rPr>
        <w:t>PRS</w:t>
      </w:r>
      <w:r>
        <w:rPr>
          <w:i w:val="false"/>
          <w:rPrChange w:id="0" w:author="Unknown" w:date="0-00-00T00:00:00Z"/>
        </w:rPr>
        <w:t xml:space="preserve"> costs in this manner than is necessary, the excess funds collected by </w:t>
      </w:r>
      <w:r>
        <w:rPr>
          <w:i w:val="false"/>
          <w:rPrChange w:id="0" w:author="Unknown" w:date="2000-07-15T10:50:00Z"/>
        </w:rPr>
        <w:t>ERCOT</w:t>
      </w:r>
      <w:r>
        <w:rPr>
          <w:i w:val="false"/>
          <w:rPrChange w:id="0" w:author="Unknown" w:date="0-00-00T00:00:00Z"/>
        </w:rPr>
        <w:t xml:space="preserve"> will be credited to all QSEs based on the load represented by that entity relative to the total ERCOT load for the relevant period.</w:t>
      </w:r>
    </w:p>
    <w:p>
      <w:pPr>
        <w:pStyle w:val="List"/>
        <w:tabs>
          <w:tab w:val="clear" w:pos="360"/>
        </w:tabs>
        <w:ind w:start="1080" w:end="0"/>
        <w:rPr>
          <w:i/>
          <w:i/>
        </w:rPr>
      </w:pPr>
      <w:r>
        <w:rPr>
          <w:i/>
        </w:rPr>
      </w:r>
    </w:p>
    <w:p>
      <w:pPr>
        <w:pStyle w:val="16listlevel1"/>
        <w:numPr>
          <w:ilvl w:val="0"/>
          <w:numId w:val="26"/>
        </w:numPr>
        <w:rPr/>
      </w:pPr>
      <w:r>
        <w:rPr/>
        <w:t xml:space="preserve">The RMR hourly operational cost will be considered in RPRS procurement with consideration of limitations on the maximum operating run time of the RMR unit. </w:t>
      </w:r>
      <w:r>
        <mc:AlternateContent>
          <mc:Choice Requires="wps">
            <w:drawing>
              <wp:anchor behindDoc="0" distT="0" distB="0" distL="114935" distR="114935" simplePos="0" locked="0" layoutInCell="0" allowOverlap="1" relativeHeight="52">
                <wp:simplePos x="0" y="0"/>
                <wp:positionH relativeFrom="column">
                  <wp:posOffset>498475</wp:posOffset>
                </wp:positionH>
                <wp:positionV relativeFrom="paragraph">
                  <wp:posOffset>480060</wp:posOffset>
                </wp:positionV>
                <wp:extent cx="4855210" cy="557530"/>
                <wp:effectExtent l="0" t="0" r="0" b="0"/>
                <wp:wrapTopAndBottom/>
                <wp:docPr id="3" name="Frame2"/>
                <a:graphic xmlns:a="http://schemas.openxmlformats.org/drawingml/2006/main">
                  <a:graphicData uri="http://schemas.microsoft.com/office/word/2010/wordprocessingShape">
                    <wps:wsp>
                      <wps:cNvSpPr txBox="1"/>
                      <wps:spPr>
                        <a:xfrm>
                          <a:off x="0" y="0"/>
                          <a:ext cx="4855210" cy="557530"/>
                        </a:xfrm>
                        <a:prstGeom prst="rect"/>
                        <a:solidFill>
                          <a:srgbClr val="FFFFFF"/>
                        </a:solidFill>
                        <a:ln w="9525">
                          <a:solidFill>
                            <a:srgbClr val="000000"/>
                          </a:solidFill>
                        </a:ln>
                      </wps:spPr>
                      <wps:txbx>
                        <w:txbxContent>
                          <w:p>
                            <w:pPr>
                              <w:pStyle w:val="Normal"/>
                              <w:rPr/>
                            </w:pPr>
                            <w:r>
                              <w:rPr/>
                              <w:t>Use of RMR in the RPRS bid evaluation may tend to commit RMR units in place of other competitive units.</w:t>
                            </w:r>
                          </w:p>
                        </w:txbxContent>
                      </wps:txbx>
                      <wps:bodyPr anchor="t" lIns="91440" tIns="45720" rIns="91440" bIns="45720">
                        <a:noAutofit/>
                      </wps:bodyPr>
                    </wps:wsp>
                  </a:graphicData>
                </a:graphic>
              </wp:anchor>
            </w:drawing>
          </mc:Choice>
          <mc:Fallback>
            <w:pict>
              <v:rect fillcolor="#FFFFFF" strokecolor="#000000" strokeweight="0pt" style="position:absolute;rotation:-0;width:382.3pt;height:43.9pt;mso-wrap-distance-left:9.05pt;mso-wrap-distance-right:9.05pt;mso-wrap-distance-top:0pt;mso-wrap-distance-bottom:0pt;margin-top:37.8pt;mso-position-vertical-relative:text;margin-left:39.25pt;mso-position-horizontal-relative:text">
                <v:textbox>
                  <w:txbxContent>
                    <w:p>
                      <w:pPr>
                        <w:pStyle w:val="Normal"/>
                        <w:rPr/>
                      </w:pPr>
                      <w:r>
                        <w:rPr/>
                        <w:t>Use of RMR in the RPRS bid evaluation may tend to commit RMR units in place of other competitive units.</w:t>
                      </w:r>
                    </w:p>
                  </w:txbxContent>
                </v:textbox>
                <w10:wrap type="topAndBottom"/>
              </v:rect>
            </w:pict>
          </mc:Fallback>
        </mc:AlternateContent>
      </w:r>
    </w:p>
    <w:p>
      <w:pPr>
        <w:pStyle w:val="16listlevel1"/>
        <w:numPr>
          <w:ilvl w:val="0"/>
          <w:numId w:val="26"/>
        </w:numPr>
        <w:rPr/>
      </w:pPr>
      <w:r>
        <w:rPr/>
        <w:t>In the case of tied bids for the selection of RPRS, ERCOT will select the bid that meets the requirement most closely.  When the price and capacity are identical from unaffiliated bidders, ERCOT will request re-bids.</w:t>
      </w:r>
    </w:p>
    <w:p>
      <w:pPr>
        <w:pStyle w:val="16listlevel1"/>
        <w:numPr>
          <w:ilvl w:val="0"/>
          <w:numId w:val="26"/>
        </w:numPr>
        <w:rPr/>
      </w:pPr>
      <w:r>
        <w:rPr/>
        <w:t>For RPRS, for each hour, for each Congestion Zone, ERCOT will post the quantity of capacity procured and the MCPC.</w:t>
      </w:r>
    </w:p>
    <w:p>
      <w:pPr>
        <w:pStyle w:val="16listlevel1"/>
        <w:numPr>
          <w:ilvl w:val="0"/>
          <w:numId w:val="26"/>
        </w:numPr>
        <w:rPr/>
      </w:pPr>
      <w:r>
        <w:rPr/>
        <w:t>On award of RPRS capacity, the energy bid curves provided by the QSE selected to provide RPRS will be added to the Balancing Energy bids stack considering the location of the resource for the period of time the RPRS is awarded. QSEs may supply multiple price-quantity pair bids for incremental energy to ERCOT for each resource.</w:t>
      </w:r>
    </w:p>
    <w:p>
      <w:pPr>
        <w:pStyle w:val="05textparagraph"/>
        <w:rPr/>
      </w:pPr>
      <w:r>
        <w:rPr/>
      </w:r>
    </w:p>
    <w:p>
      <w:pPr>
        <w:pStyle w:val="Heading4"/>
        <w:numPr>
          <w:ilvl w:val="3"/>
          <w:numId w:val="18"/>
        </w:numPr>
        <w:ind w:hanging="0" w:start="0"/>
        <w:rPr/>
      </w:pPr>
      <w:r>
        <w:rPr/>
        <w:t>ERCOT Emergency Ancillary Service Procurement</w:t>
      </w:r>
    </w:p>
    <w:p>
      <w:pPr>
        <w:pStyle w:val="05textparagraph"/>
        <w:numPr>
          <w:ilvl w:val="3"/>
          <w:numId w:val="11"/>
        </w:numPr>
        <w:tabs>
          <w:tab w:val="clear" w:pos="720"/>
        </w:tabs>
        <w:ind w:hanging="0" w:start="0" w:end="0"/>
        <w:rPr/>
      </w:pPr>
      <w:r>
        <w:rPr/>
        <w:t xml:space="preserve">Any ERCOT procurement of Ancillary Services in the Operating Period other than the deployment of Balancing Energy Service will be pursuant to the Emergency Protocol. </w:t>
      </w:r>
    </w:p>
    <w:p>
      <w:pPr>
        <w:pStyle w:val="05textparagraph"/>
        <w:rPr/>
      </w:pPr>
      <w:r>
        <w:rPr/>
        <w:t>(2)</w:t>
        <w:tab/>
        <w:t>QSEs may not Self-arrange for Ancillary Services procured in response to emergency situations.</w:t>
      </w:r>
    </w:p>
    <w:p>
      <w:pPr>
        <w:pStyle w:val="Heading3"/>
        <w:numPr>
          <w:ilvl w:val="2"/>
          <w:numId w:val="18"/>
        </w:numPr>
        <w:ind w:hanging="0" w:start="0"/>
        <w:rPr/>
      </w:pPr>
      <w:r>
        <w:rPr/>
        <w:t>Obligations to Honor Ancillary Services Commitments</w:t>
      </w:r>
    </w:p>
    <w:p>
      <w:pPr>
        <w:pStyle w:val="05textparagraph"/>
        <w:rPr/>
      </w:pPr>
      <w:r>
        <w:rPr/>
        <w:t>The AS obligations  from the schedule submitted prior to the close of the Adjustment Period are binding commitments to the QSE.</w:t>
      </w:r>
    </w:p>
    <w:p>
      <w:pPr>
        <w:pStyle w:val="Heading3"/>
        <w:numPr>
          <w:ilvl w:val="2"/>
          <w:numId w:val="18"/>
        </w:numPr>
        <w:ind w:hanging="0" w:start="0"/>
        <w:rPr/>
      </w:pPr>
      <w:r>
        <w:rPr/>
        <w:t>Mandatory Provision of Ancillary Service Capacity to ERCOT</w:t>
      </w:r>
    </w:p>
    <w:p>
      <w:pPr>
        <w:pStyle w:val="05textparagraph"/>
        <w:rPr/>
      </w:pPr>
      <w:r>
        <w:rPr/>
        <w:t>ERCOT may require a QSE to provide OOMC and OOME Service resources if necessary to avoid a System insufficiency or System Emergency condition.  If required, ERCOT will procure these Ancillary Services in accordance with the requirements of OOMC and OOME Services.</w:t>
      </w:r>
    </w:p>
    <w:p>
      <w:pPr>
        <w:pStyle w:val="Heading3"/>
        <w:numPr>
          <w:ilvl w:val="2"/>
          <w:numId w:val="18"/>
        </w:numPr>
        <w:ind w:hanging="0" w:start="0"/>
        <w:rPr/>
      </w:pPr>
      <w:r>
        <w:rPr/>
        <w:t>Provision of Multiple Ancillary Services from a Resource</w:t>
      </w:r>
    </w:p>
    <w:p>
      <w:pPr>
        <w:pStyle w:val="05textparagraph"/>
        <w:rPr/>
      </w:pPr>
      <w:r>
        <w:rPr/>
        <w:t>An individual resource may provide more than one Ancillary Service, provided that the sum of the Ancillary Service capacities committed to ERCOT, when added to the scheduled dispatch level, is within the operating capability of the resource as specified in the Resource Plan submitted by the QSE.</w:t>
      </w:r>
    </w:p>
    <w:p>
      <w:pPr>
        <w:pStyle w:val="Heading3"/>
        <w:numPr>
          <w:ilvl w:val="2"/>
          <w:numId w:val="18"/>
        </w:numPr>
        <w:ind w:hanging="0" w:start="0"/>
        <w:rPr/>
      </w:pPr>
      <w:r>
        <w:rPr/>
        <w:t xml:space="preserve">Insufficiency of Ancillary Services Bids </w:t>
      </w:r>
    </w:p>
    <w:p>
      <w:pPr>
        <w:pStyle w:val="05textparagraph"/>
        <w:rPr/>
      </w:pPr>
      <w:r>
        <w:rPr/>
        <w:t xml:space="preserve">If ERCOT receives insufficient Ancillary Service bids to procure required AS such that the Ancillary Services Plan is deficient and system security and reliability is threatened, ERCOT will act in accordance with the Emergency Protocols in Section 5.7, EECP, to obtain adequate resources to ensure reliability. </w:t>
      </w:r>
    </w:p>
    <w:p>
      <w:pPr>
        <w:pStyle w:val="Heading2"/>
        <w:numPr>
          <w:ilvl w:val="1"/>
          <w:numId w:val="18"/>
        </w:numPr>
        <w:ind w:hanging="0" w:start="0"/>
        <w:rPr/>
      </w:pPr>
      <w:bookmarkStart w:id="7" w:name="__RefHeading___Toc489344927"/>
      <w:r>
        <w:rPr/>
        <w:t>Deployment Policy</w:t>
      </w:r>
      <w:bookmarkEnd w:id="7"/>
      <w:r>
        <w:rPr/>
        <w:t xml:space="preserve"> </w:t>
      </w:r>
    </w:p>
    <w:p>
      <w:pPr>
        <w:pStyle w:val="05textparagraph"/>
        <w:rPr/>
      </w:pPr>
      <w:r>
        <w:rPr/>
        <w:t>Energy from Ancillary Services may be deployed, only in the Operating Period, by ERCOT for reliability reasons in order to maintain frequency and system security.  Energy will be deployed from Ancillary Services as prescribed by their specific function and may not be used to substitute for other services because of price. ERCOT shall deploy all services other than Regulation in a minimum of 1 Mw blocks.</w:t>
      </w:r>
    </w:p>
    <w:p>
      <w:pPr>
        <w:pStyle w:val="Heading3"/>
        <w:numPr>
          <w:ilvl w:val="2"/>
          <w:numId w:val="18"/>
        </w:numPr>
        <w:ind w:hanging="0" w:start="0"/>
        <w:rPr/>
      </w:pPr>
      <w:r>
        <w:rPr/>
        <w:t>Deployment of Balancing Energy</w:t>
      </w:r>
    </w:p>
    <w:p>
      <w:pPr>
        <w:pStyle w:val="Heading4"/>
        <w:numPr>
          <w:ilvl w:val="3"/>
          <w:numId w:val="18"/>
        </w:numPr>
        <w:ind w:hanging="0" w:start="0"/>
        <w:rPr/>
      </w:pPr>
      <w:r>
        <w:rPr/>
        <w:t>Creation of the Balancing Energy Stack</w:t>
      </w:r>
    </w:p>
    <w:p>
      <w:pPr>
        <w:pStyle w:val="05textparagraph"/>
        <w:rPr/>
      </w:pPr>
      <w:r>
        <w:rPr/>
        <w:t>(1)</w:t>
        <w:tab/>
        <w:t xml:space="preserve">The Balancing Energy Service bid stack for the Operating Period will be created at the close of the Adjustment Period from the most recent incremental and decremental Balancing Energy Service bids submitted by QSEs.  QSEs can submit revised bids up to the close of the Adjustment Period. </w:t>
      </w:r>
    </w:p>
    <w:p>
      <w:pPr>
        <w:pStyle w:val="05textparagraph"/>
        <w:rPr/>
      </w:pPr>
      <w:r>
        <w:rPr/>
        <w:t>(2)</w:t>
        <w:tab/>
        <w:t xml:space="preserve">ERCOT may use varying amounts of Balancing Energy during each Settlement Interval as constrained by the QSE-designated bid ramp rate limiting the amount of Balancing Energy Service that can be deployed in each of the 15-minute Settlement Interval. </w:t>
      </w:r>
    </w:p>
    <w:p>
      <w:pPr>
        <w:pStyle w:val="05textparagraph"/>
        <w:rPr/>
      </w:pPr>
      <w:r>
        <w:rPr/>
        <w:t xml:space="preserve"> </w:t>
      </w:r>
      <w:r>
        <w:rPr/>
        <w:t>(3)</w:t>
        <w:tab/>
        <w:t>QSEs may designate the amount of Balancing Energy Service that can be deployed in each of the Settlement Interval by specifying a bid ramp rate effective for the whole hour.  The limit for the hour is no less than the total amount bid by the QSE.  Ten minutes prior to crossing the hour boundary, ERCOT will evaluate the Balancing Energy previously awarded and re-deploy services based on specified bids for the new hour.</w:t>
      </w:r>
    </w:p>
    <w:p>
      <w:pPr>
        <w:pStyle w:val="05textparagraph"/>
        <w:rPr/>
      </w:pPr>
      <w:r>
        <w:rPr/>
        <w:t>(4)</w:t>
        <w:tab/>
        <w:t>QSEs may supply multiple price-quantity pair bids for incremental and decremental energy (i.e., “up and/or down curves”) to ERCOT for each Congestion Zone.</w:t>
      </w:r>
    </w:p>
    <w:p>
      <w:pPr>
        <w:pStyle w:val="05textparagraph"/>
        <w:rPr/>
      </w:pPr>
      <w:r>
        <w:rPr/>
        <w:t>(5)</w:t>
        <w:tab/>
        <w:t>The MCPE for each Settlement Interval for each Congestion Zone will be posted by ERCOT to the marketplace when energy is deployed or recalled.  For Settlement Interval during which no deployment or recalling of Balancing Energy is issued, the MCPE is the same as in the preceding interval.</w:t>
      </w:r>
    </w:p>
    <w:p>
      <w:pPr>
        <w:pStyle w:val="05textparagraph"/>
        <w:rPr/>
      </w:pPr>
      <w:r>
        <w:rPr/>
        <w:t>(6)</w:t>
        <w:tab/>
        <w:t xml:space="preserve">ERCOT will develop and promulgate a forecast of Balancing Energy Service needed in each Settlement Interval for use by ERCOT Operators. </w:t>
      </w:r>
    </w:p>
    <w:p>
      <w:pPr>
        <w:pStyle w:val="05textparagraph"/>
        <w:rPr/>
      </w:pPr>
      <w:r>
        <w:rPr/>
        <w:t>(7)</w:t>
        <w:tab/>
        <w:t xml:space="preserve">ERCOT’s System Operator will not have access to individual bid prices or the expected MCPE if the next energy bid is selected.  Rather, the Operator will deploy all or a portion of a bid, moving up and down the deployment energy stack. All bids will remain in one stack and the MCPE will be posted, unless there is transmission Congestion.  If energy stacks must be separated by Congestion Zone, because of transmission Congestion, the MCPE of each zone will be posted. </w:t>
      </w:r>
    </w:p>
    <w:p>
      <w:pPr>
        <w:pStyle w:val="05textparagraph"/>
        <w:rPr/>
      </w:pPr>
      <w:r>
        <w:rPr/>
        <w:t>(8)</w:t>
        <w:tab/>
        <w:t>ERCOT will provide notice via the Messaging System to QSEs of their awards for Balancing Energy Service as they are selected.  QSEs will be required to respond with manual or electronic acknowledgement.</w:t>
      </w:r>
    </w:p>
    <w:p>
      <w:pPr>
        <w:pStyle w:val="05textparagraph"/>
        <w:rPr/>
      </w:pPr>
      <w:r>
        <w:rPr/>
        <w:t>(9)</w:t>
        <w:tab/>
        <w:t xml:space="preserve">ERCOT will notify each QSE of its instructed amount of Balancing Energy Service 10 minutes prior to the Settlement Interval in which it is to be deployed.  QSEs will be expected to provide a power level during the Settlement Interval that will provide the instructed amount of Balancing Energy Service for that interval. </w:t>
      </w:r>
    </w:p>
    <w:p>
      <w:pPr>
        <w:pStyle w:val="05textparagraph"/>
        <w:rPr/>
      </w:pPr>
      <w:r>
        <w:rPr/>
        <w:t>(10)</w:t>
        <w:tab/>
        <w:t xml:space="preserve">Any energy provided by a QSE in a Settlement Interval in which it has not been instructed to provide Balancing Energy Service by ERCOT will not set the MCPE, regardless of whether the energy provided was necessary for the QSE to meet ERCOT’s instruction for a future or past Settlement Interval. </w:t>
      </w:r>
    </w:p>
    <w:p>
      <w:pPr>
        <w:pStyle w:val="Heading4"/>
        <w:numPr>
          <w:ilvl w:val="3"/>
          <w:numId w:val="18"/>
        </w:numPr>
        <w:ind w:hanging="0" w:start="0"/>
        <w:rPr/>
      </w:pPr>
      <w:r>
        <w:rPr/>
        <w:t>Deployment of Balancing Energy when Congestion Occurs</w:t>
      </w:r>
    </w:p>
    <w:p>
      <w:pPr>
        <w:pStyle w:val="16listlevel1"/>
        <w:numPr>
          <w:ilvl w:val="0"/>
          <w:numId w:val="42"/>
        </w:numPr>
        <w:tabs>
          <w:tab w:val="clear" w:pos="720"/>
        </w:tabs>
        <w:ind w:hanging="0" w:start="0" w:end="0"/>
        <w:rPr/>
      </w:pPr>
      <w:r>
        <w:rPr/>
        <w:t>If the Operational Model indicates there is CSC Congestion, ERCOT will separate the Balancing Energy Service bids into a bid stack for each transmission Congestion Zone.</w:t>
      </w:r>
    </w:p>
    <w:p>
      <w:pPr>
        <w:pStyle w:val="16listlevel1"/>
        <w:numPr>
          <w:ilvl w:val="0"/>
          <w:numId w:val="11"/>
        </w:numPr>
        <w:tabs>
          <w:tab w:val="clear" w:pos="720"/>
        </w:tabs>
        <w:ind w:hanging="0" w:start="0" w:end="0"/>
        <w:rPr/>
      </w:pPr>
      <w:r>
        <w:rPr/>
        <w:t xml:space="preserve">ERCOT will use the Operational Model to determine the amount and location of Balancing Energy deployment for clearing CSC Congestion using average Shift Factors as determined in the Commercial Model as well as balancing the system. </w:t>
      </w:r>
    </w:p>
    <w:p>
      <w:pPr>
        <w:pStyle w:val="16listlevel1"/>
        <w:numPr>
          <w:ilvl w:val="0"/>
          <w:numId w:val="11"/>
        </w:numPr>
        <w:tabs>
          <w:tab w:val="clear" w:pos="720"/>
        </w:tabs>
        <w:ind w:hanging="0" w:start="0" w:end="0"/>
        <w:rPr/>
      </w:pPr>
      <w:r>
        <w:rPr/>
        <w:t>Except as stated in item (4) below, ERCOT will deploy Balancing Energy bids within a zone in bid price merit order.</w:t>
      </w:r>
    </w:p>
    <w:p>
      <w:pPr>
        <w:pStyle w:val="16listlevel1"/>
        <w:numPr>
          <w:ilvl w:val="0"/>
          <w:numId w:val="11"/>
        </w:numPr>
        <w:tabs>
          <w:tab w:val="clear" w:pos="720"/>
        </w:tabs>
        <w:ind w:hanging="0" w:start="0" w:end="0"/>
        <w:rPr/>
      </w:pPr>
      <w:r>
        <w:rPr/>
        <w:t>If ERCOT forecasts that it cannot resolve the Operational Congestion using the zonal merit order stack, ERCOT may  form specific resource prices for both incrementing and decrementing a resource’s  energy as may be bid for that resource by the QSE. Individual bid prices for resources are formed by adding the premium specified by resource by the QSE to the current MCPE of the Congestion Zone to form an increment bid and by subtracting the premium specified by the QSE from the current MCPE of the Congestion Zone to form a decrement bid.  The actual Shift Factors  of resources and the resources’ individual bid prices from above are used to determine the most economical deployment of individual resource energy. ERCOT will deploy energy through the issuance of a Dispatch Instruction to each resource  according to the most economical solution to resolve the Operational Congestion.  The deployment of resource specific energy must be in equal incremental and decremental amounts in the same Congestion Zone such that the net effect on Balancing Energy in the zone is zero.  The Dispatch Instruction will specify the range of acceptable operation of the specific resource.  The QSE will be paid the premium specified times the number of megawatts of change considering the maximum of the range specified from the QSE’s dispatch at the time of receipt of the instruction for all hours or portions of an hour the resource is individually dispatched.  Resources shall meet the specific resource deployment performance requirements of Section 6.10.7.</w:t>
      </w:r>
    </w:p>
    <w:p>
      <w:pPr>
        <w:pStyle w:val="16listlevel1"/>
        <w:numPr>
          <w:ilvl w:val="0"/>
          <w:numId w:val="11"/>
        </w:numPr>
        <w:tabs>
          <w:tab w:val="clear" w:pos="720"/>
        </w:tabs>
        <w:ind w:hanging="0" w:start="0" w:end="0"/>
        <w:rPr/>
      </w:pPr>
      <w:r>
        <w:rPr/>
        <w:t>If a Market Solution does not exist, then ERCOT may request OOME from resources of similar Shift Factors affecting the constraint.</w:t>
      </w:r>
    </w:p>
    <w:p>
      <w:pPr>
        <w:pStyle w:val="16listlevel1"/>
        <w:numPr>
          <w:ilvl w:val="0"/>
          <w:numId w:val="11"/>
        </w:numPr>
        <w:tabs>
          <w:tab w:val="clear" w:pos="720"/>
        </w:tabs>
        <w:ind w:hanging="0" w:start="0" w:end="0"/>
        <w:rPr/>
      </w:pPr>
      <w:r>
        <w:rPr/>
        <w:t xml:space="preserve">The QSEs providing Balancing Energy service shall meet the deployment performance requirements specified in Section 6.10.4 – Ancillary Services Deployment Measures </w:t>
      </w:r>
    </w:p>
    <w:p>
      <w:pPr>
        <w:pStyle w:val="Heading4"/>
        <w:numPr>
          <w:ilvl w:val="3"/>
          <w:numId w:val="18"/>
        </w:numPr>
        <w:ind w:hanging="0" w:start="0"/>
        <w:rPr/>
      </w:pPr>
      <w:r>
        <w:rPr/>
        <w:t>Deployment of Balancing Energy During Unusual Events</w:t>
      </w:r>
    </w:p>
    <w:p>
      <w:pPr>
        <w:pStyle w:val="05textparagraph"/>
        <w:rPr/>
      </w:pPr>
      <w:r>
        <w:rPr/>
        <w:t>(1)</w:t>
        <w:tab/>
        <w:t>During Unusual Events such as major frequency disturbances greater than 0.03 Hz and unexpected significant load changes greater than half the amount of regulation purchased in each direction, ERCOT may deploy Balancing Energy so as to mitigate the consequences of the Unusual Event.</w:t>
      </w:r>
    </w:p>
    <w:p>
      <w:pPr>
        <w:pStyle w:val="05textparagraph"/>
        <w:rPr/>
      </w:pPr>
      <w:r>
        <w:rPr/>
        <w:t>(2)</w:t>
        <w:tab/>
        <w:t>During such an event, ERCOT may take one or more of the following actions:</w:t>
      </w:r>
    </w:p>
    <w:p>
      <w:pPr>
        <w:pStyle w:val="16listlevel1"/>
        <w:numPr>
          <w:ilvl w:val="1"/>
          <w:numId w:val="14"/>
        </w:numPr>
        <w:rPr/>
      </w:pPr>
      <w:r>
        <w:rPr/>
        <w:t>Recall an INC Instruction or DEC Instruction before the 15-minute settlement period is complete or without the 10-minute notice.</w:t>
      </w:r>
    </w:p>
    <w:p>
      <w:pPr>
        <w:pStyle w:val="16listlevel1"/>
        <w:numPr>
          <w:ilvl w:val="1"/>
          <w:numId w:val="14"/>
        </w:numPr>
        <w:rPr/>
      </w:pPr>
      <w:r>
        <w:rPr/>
        <w:t xml:space="preserve">Deploy Balancing Energy without the 10-minute notice for the remaining of the current Settlement Interval; </w:t>
      </w:r>
    </w:p>
    <w:p>
      <w:pPr>
        <w:pStyle w:val="16listlevel1"/>
        <w:numPr>
          <w:ilvl w:val="1"/>
          <w:numId w:val="14"/>
        </w:numPr>
        <w:rPr/>
      </w:pPr>
      <w:r>
        <w:rPr/>
        <w:t>Use special pricing structures to pay providers. Special pricing shall include paying any INC the MCPE for INCs, charging any DEC the MCPE for DECs, or charging any differences to the Equalization Fund.</w:t>
      </w:r>
    </w:p>
    <w:p>
      <w:pPr>
        <w:pStyle w:val="16listlevel1"/>
        <w:numPr>
          <w:ilvl w:val="1"/>
          <w:numId w:val="14"/>
        </w:numPr>
        <w:rPr/>
      </w:pPr>
      <w:r>
        <w:rPr/>
        <w:t>The MCPE of the Settlement Interval during which an unusual event occurred will be manually adjusted by ERCOT to reflect as accurately as possible the actual marginal price of energy.</w:t>
      </w:r>
    </w:p>
    <w:p>
      <w:pPr>
        <w:pStyle w:val="Heading3"/>
        <w:numPr>
          <w:ilvl w:val="2"/>
          <w:numId w:val="18"/>
        </w:numPr>
        <w:ind w:hanging="0" w:start="0"/>
        <w:rPr/>
      </w:pPr>
      <w:r>
        <w:rPr/>
        <w:t>Deployment of Regulation Service</w:t>
      </w:r>
    </w:p>
    <w:p>
      <w:pPr>
        <w:pStyle w:val="05textparagraph"/>
        <w:rPr/>
      </w:pPr>
      <w:r>
        <w:rPr/>
        <w:t>(1)</w:t>
        <w:tab/>
        <w:t>RGS will be deployed in response to a change in system frequency to maintain that frequency within predetermined limits. Deployment will be accomplished through use of an automatic signal from ERCOT to each QSE provider of RGS.</w:t>
      </w:r>
    </w:p>
    <w:p>
      <w:pPr>
        <w:pStyle w:val="05textparagraph"/>
        <w:rPr/>
      </w:pPr>
      <w:r>
        <w:rPr/>
        <w:t>(2)</w:t>
        <w:tab/>
        <w:t>Dispatch Instructions for regulation capacity will be deployed on a proportional basis, given the ratio of capacity provided, among providers of that capacity.</w:t>
      </w:r>
    </w:p>
    <w:p>
      <w:pPr>
        <w:pStyle w:val="05textparagraph"/>
        <w:rPr/>
      </w:pPr>
      <w:r>
        <w:rPr/>
        <w:t>(3)</w:t>
        <w:tab/>
        <w:t>ERCOT is required to minimize the use of RGS energy by operating its Automatic Generation Control system in conjunction with deploying Balancing Energy with the objective that Regulation Service Up energy and Regulation Service Down energy are deployed in each Settlement Period.</w:t>
      </w:r>
    </w:p>
    <w:p>
      <w:pPr>
        <w:pStyle w:val="05textparagraph"/>
        <w:rPr/>
      </w:pPr>
      <w:r>
        <w:rPr/>
        <w:t>(4)</w:t>
        <w:tab/>
        <w:t>Energy deployed under RGS will not be accounted for separately, but will be settled at the MCPE for Balancing Energy.</w:t>
      </w:r>
    </w:p>
    <w:p>
      <w:pPr>
        <w:pStyle w:val="05textparagraph"/>
        <w:rPr/>
      </w:pPr>
      <w:r>
        <w:rPr/>
        <w:t>(5)</w:t>
        <w:tab/>
        <w:t xml:space="preserve">ERCOT shall integrate the control signal sent to providers of Regulation Service Up thus calculating the amount of Energy deployed in each 15-minute period.  </w:t>
      </w:r>
    </w:p>
    <w:p>
      <w:pPr>
        <w:pStyle w:val="05textparagraph"/>
        <w:rPr/>
      </w:pPr>
      <w:r>
        <w:rPr/>
        <w:t>(6)</w:t>
        <w:tab/>
        <w:t xml:space="preserve">ERCOT shall integrate the control signal sent to providers of Regulation Down Service and calculate the amount of Energy deployed in each 15-minute period. </w:t>
      </w:r>
    </w:p>
    <w:p>
      <w:pPr>
        <w:pStyle w:val="05textparagraph"/>
        <w:rPr/>
      </w:pPr>
      <w:r>
        <w:rPr/>
        <w:t>(7)</w:t>
        <w:tab/>
        <w:t xml:space="preserve">ERCOT shall post to all Market Participants the total amount of deployed Regulation Service Up and Regulation Service Down energy in each Settlement Period of the previous hour.  </w:t>
      </w:r>
    </w:p>
    <w:p>
      <w:pPr>
        <w:pStyle w:val="05textparagraph"/>
        <w:rPr/>
      </w:pPr>
      <w:r>
        <w:rPr/>
        <w:t xml:space="preserve"> </w:t>
      </w:r>
      <w:r>
        <w:rPr/>
        <w:t>(8)</w:t>
        <w:tab/>
        <w:t xml:space="preserve">QSEs providing Regulation Service shall provide a feedback signal to ERCOT via the Data Acquisition system that identifies the amount of regulation energy being provided each control cycle. </w:t>
      </w:r>
    </w:p>
    <w:p>
      <w:pPr>
        <w:pStyle w:val="05textparagraph"/>
        <w:rPr/>
      </w:pPr>
      <w:r>
        <w:rPr/>
        <w:t>(9)</w:t>
        <w:tab/>
        <w:t>For each QSE providing RGS the implied ramp rate in megawatts per minute is the total amount of regulation service awarded divided by 10.</w:t>
      </w:r>
    </w:p>
    <w:p>
      <w:pPr>
        <w:pStyle w:val="05textparagraph"/>
        <w:rPr/>
      </w:pPr>
      <w:r>
        <w:rPr/>
        <w:t>(10)</w:t>
        <w:tab/>
        <w:t>The QSEs providing RGS shall meet the deployment performance requirements specified in Section 6.10.4 – Ancillary Services Deployment Measures</w:t>
      </w:r>
    </w:p>
    <w:p>
      <w:pPr>
        <w:pStyle w:val="Heading3"/>
        <w:numPr>
          <w:ilvl w:val="2"/>
          <w:numId w:val="18"/>
        </w:numPr>
        <w:ind w:hanging="0" w:start="0"/>
        <w:rPr/>
      </w:pPr>
      <w:r>
        <w:rPr/>
        <w:t xml:space="preserve">Deployment of Responsive Reserve Service </w:t>
      </w:r>
    </w:p>
    <w:p>
      <w:pPr>
        <w:pStyle w:val="05textparagraph"/>
        <w:rPr/>
      </w:pPr>
      <w:r>
        <w:rPr/>
        <w:t>(1)</w:t>
        <w:tab/>
        <w:t>Responsive Reserve Energy shall be deployed either by automatic governor action as a result of a significant frequency deviation, as necessary to meet NERC Policy or by Dispatch Instructions from ERCOT by providing notice via an electronic messaging system  to providers. Deployment of energy as a result of automatic governor action will be considered as if the QSE received a Dispatch Instruction.</w:t>
      </w:r>
    </w:p>
    <w:p>
      <w:pPr>
        <w:pStyle w:val="Normal"/>
        <w:rPr/>
      </w:pPr>
      <w:r>
        <w:rPr/>
        <w:t>(2)</w:t>
        <w:tab/>
        <w:t xml:space="preserve">ERCOT will deploy Responsive Reserve service in response to disturbance control assistance requirements as specified in the ERCOT Operating Guides or after all the bids in the incremental Balancing Energy stack have been depleted. Energy from Responsive Reserve resources will deployed by ERCOT in accordance with ERCOT Emergency Protocols. </w:t>
      </w:r>
    </w:p>
    <w:p>
      <w:pPr>
        <w:pStyle w:val="Normal"/>
        <w:rPr/>
      </w:pPr>
      <w:r>
        <w:rPr/>
        <w:t xml:space="preserve"> </w:t>
      </w:r>
      <w:r>
        <w:rPr/>
        <w:t>(3)</w:t>
        <w:tab/>
        <w:t xml:space="preserve">ERCOT Deployment of Responsive Reserve Service resources will be proportioned first between suppliers who provide RRS using generation resources until 33% of the total amount purchased by ERCOT is deployed.  On depletion of the first 33% ERCOT shall deploy all remaining RRS on loads acting as resources as a single block.  The final deployment shall continue to be proportioned between suppliers of RRS using generation resources. </w:t>
      </w:r>
    </w:p>
    <w:p>
      <w:pPr>
        <w:pStyle w:val="Normal"/>
        <w:rPr/>
      </w:pPr>
      <w:r>
        <w:rPr/>
        <w:t xml:space="preserve"> </w:t>
      </w:r>
      <w:r>
        <w:rPr/>
        <w:t>(4)</w:t>
        <w:tab/>
        <w:t xml:space="preserve">ERCOT will deploy Balancing Energy service and Non-Spinning Service as soon a practical to minimize the use of Responsive Reserve energy. </w:t>
      </w:r>
    </w:p>
    <w:p>
      <w:pPr>
        <w:pStyle w:val="05textparagraph"/>
        <w:rPr/>
      </w:pPr>
      <w:r>
        <w:rPr/>
        <w:t>(5)</w:t>
        <w:tab/>
        <w:t xml:space="preserve">All providers of Responsive Reserve resources will be required to provide feedback to ERCOT of their availability and level of deployment in Real Time. Except in those instances where a significant frequency deviation has occurred and temporary deployment is necessary to meet NERC requirements, ERCOT shall deploy Responsive Reserve services according to the Emergency Operations Protocol. </w:t>
      </w:r>
    </w:p>
    <w:p>
      <w:pPr>
        <w:pStyle w:val="05textparagraph"/>
        <w:rPr/>
      </w:pPr>
      <w:r>
        <w:rPr/>
        <w:t>(6)</w:t>
        <w:tab/>
        <w:t>Once Responsive Reserve service is deployed, the obligation to deliver energy shall remain until specifically instructed to stop providing by ERCOT but not longer than the period of the service obligation.</w:t>
      </w:r>
    </w:p>
    <w:p>
      <w:pPr>
        <w:pStyle w:val="05textparagraph"/>
        <w:rPr/>
      </w:pPr>
      <w:r>
        <w:rPr/>
        <w:t>(7)</w:t>
        <w:tab/>
        <w:t>The QSEs providing Responsive Reserve Service shall meet the deployment performance requirements specified in Section 6.10.4 – Ancillary Services Deployment Measures</w:t>
      </w:r>
    </w:p>
    <w:p>
      <w:pPr>
        <w:pStyle w:val="Heading3"/>
        <w:numPr>
          <w:ilvl w:val="2"/>
          <w:numId w:val="18"/>
        </w:numPr>
        <w:ind w:hanging="0" w:start="0"/>
        <w:rPr/>
      </w:pPr>
      <w:r>
        <w:rPr/>
        <w:t>Deployment of Non-Spinning Reserve Service</w:t>
      </w:r>
    </w:p>
    <w:p>
      <w:pPr>
        <w:pStyle w:val="05textparagraph"/>
        <w:rPr/>
      </w:pPr>
      <w:r>
        <w:rPr/>
        <w:t>(1)</w:t>
        <w:tab/>
        <w:t xml:space="preserve">Deployment of Non-Spinning Reserve Service resources will be proportioned between suppliers. </w:t>
      </w:r>
    </w:p>
    <w:p>
      <w:pPr>
        <w:pStyle w:val="05textparagraph"/>
        <w:rPr/>
      </w:pPr>
      <w:r>
        <w:rPr/>
        <w:t>(2)</w:t>
        <w:tab/>
        <w:t xml:space="preserve">Energy from Non-Spinning Reserve capacity may be deployed by ERCOT if, in its judgment, not enough incremental Balancing Energy Service is available to satisfy reliability needs. </w:t>
      </w:r>
    </w:p>
    <w:p>
      <w:pPr>
        <w:pStyle w:val="05textparagraph"/>
        <w:rPr/>
      </w:pPr>
      <w:r>
        <w:rPr/>
        <w:t>(3)</w:t>
        <w:tab/>
        <w:t xml:space="preserve"> ERCOT will provide notice via the Messaging System to QSEs of their obligations for NSRS energy as the QSE's resources are selected. Providers will be required to respond with manual or electronic acknowledgement.</w:t>
      </w:r>
    </w:p>
    <w:p>
      <w:pPr>
        <w:pStyle w:val="05textparagraph"/>
        <w:rPr/>
      </w:pPr>
      <w:r>
        <w:rPr/>
        <w:t>(4)</w:t>
        <w:tab/>
        <w:t>All providers of Non-Spinning Reserve resources will provide notification to ERCOT of their availability and level of deployment.</w:t>
      </w:r>
    </w:p>
    <w:p>
      <w:pPr>
        <w:pStyle w:val="05textparagraph"/>
        <w:rPr/>
      </w:pPr>
      <w:r>
        <w:rPr/>
        <w:t>(5)</w:t>
        <w:tab/>
        <w:t>Once deployed, the obligation to deliver energy will remain until ordered to stop providing by ERCOT (after not less than one hour), or until the end of the service obligation.</w:t>
      </w:r>
    </w:p>
    <w:p>
      <w:pPr>
        <w:pStyle w:val="16listlevel1"/>
        <w:numPr>
          <w:ilvl w:val="0"/>
          <w:numId w:val="0"/>
        </w:numPr>
        <w:ind w:hanging="0" w:start="0"/>
        <w:rPr/>
      </w:pPr>
      <w:r>
        <w:rPr/>
        <w:t xml:space="preserve">(6) </w:t>
        <w:tab/>
        <w:t>NSRS may be deployed at any time in a Settlement Period.</w:t>
      </w:r>
    </w:p>
    <w:p>
      <w:pPr>
        <w:pStyle w:val="16listlevel1"/>
        <w:numPr>
          <w:ilvl w:val="0"/>
          <w:numId w:val="11"/>
        </w:numPr>
        <w:tabs>
          <w:tab w:val="clear" w:pos="720"/>
        </w:tabs>
        <w:ind w:hanging="0" w:start="0" w:end="0"/>
        <w:rPr/>
      </w:pPr>
      <w:r>
        <w:rPr/>
        <w:t>The QSEs providing Non-Spinning Reserve Service shall meet the deployment performance requirements specified in Section 6.10.4 – Ancillary Services Deployment Measures</w:t>
      </w:r>
    </w:p>
    <w:p>
      <w:pPr>
        <w:pStyle w:val="Heading3"/>
        <w:numPr>
          <w:ilvl w:val="2"/>
          <w:numId w:val="18"/>
        </w:numPr>
        <w:ind w:hanging="0" w:start="0"/>
        <w:rPr/>
      </w:pPr>
      <w:r>
        <w:rPr/>
        <w:t>Deployment of Replacement Reserve Service</w:t>
      </w:r>
    </w:p>
    <w:p>
      <w:pPr>
        <w:pStyle w:val="05textparagraph"/>
        <w:rPr/>
      </w:pPr>
      <w:r>
        <w:rPr/>
        <w:t>(1)</w:t>
        <w:tab/>
        <w:t>All units selected to supply this service based on capacity bids will become incremental Balancing Energy bidders and will be deployed in accordance with Section 5.</w:t>
      </w:r>
    </w:p>
    <w:p>
      <w:pPr>
        <w:pStyle w:val="05textparagraph"/>
        <w:numPr>
          <w:ilvl w:val="0"/>
          <w:numId w:val="14"/>
        </w:numPr>
        <w:tabs>
          <w:tab w:val="clear" w:pos="720"/>
        </w:tabs>
        <w:ind w:hanging="0" w:start="0" w:end="0"/>
        <w:rPr/>
      </w:pPr>
      <w:r>
        <w:rPr/>
        <w:t>Replacement Reserve Service providers are required to provide incremental Balancing Energy Service bids for the full megawatt quantity of capacity accepted by, and purchased by, ERCOT in the Replacement Reserve market.  Energy bids from Replacement Capacity reserves will be treated as any other incremental energy bid.</w:t>
      </w:r>
    </w:p>
    <w:p>
      <w:pPr>
        <w:pStyle w:val="05textparagraph"/>
        <w:numPr>
          <w:ilvl w:val="0"/>
          <w:numId w:val="14"/>
        </w:numPr>
        <w:tabs>
          <w:tab w:val="clear" w:pos="720"/>
        </w:tabs>
        <w:ind w:hanging="0" w:start="0" w:end="0"/>
        <w:rPr/>
      </w:pPr>
      <w:r>
        <w:rPr/>
        <w:t>The QSEs providing Replacement Reserve Service shall meet the deployment performance requirements specified in Section 6.10.4 – Ancillary Services Deployment Measures</w:t>
      </w:r>
    </w:p>
    <w:p>
      <w:pPr>
        <w:pStyle w:val="Heading3"/>
        <w:numPr>
          <w:ilvl w:val="2"/>
          <w:numId w:val="18"/>
        </w:numPr>
        <w:ind w:hanging="0" w:start="0"/>
        <w:rPr/>
      </w:pPr>
      <w:r>
        <w:rPr/>
        <w:t xml:space="preserve">Deployment of Voltage Support Service </w:t>
      </w:r>
    </w:p>
    <w:p>
      <w:pPr>
        <w:pStyle w:val="05textparagraph"/>
        <w:rPr/>
      </w:pPr>
      <w:r>
        <w:rPr/>
        <w:t>(1)</w:t>
        <w:tab/>
        <w:t>ERCOT will instruct generators to make adjustments for voltage support within the capacity limits provided by the QSE to ERCOT.  Units providing VSS will not be requested to reduce megawatt output so as to provide additional megavolt-amperes reactive, nor will they be requested to operate on a voltage schedule outside the limits specified by the QSE without a Dispatch Instruction requesting unit specific dispatch or an OOME instruction.</w:t>
      </w:r>
    </w:p>
    <w:p>
      <w:pPr>
        <w:pStyle w:val="05textparagraph"/>
        <w:rPr/>
      </w:pPr>
      <w:r>
        <w:rPr/>
        <w:t>(2)</w:t>
        <w:tab/>
        <w:t>ERCOT and TDSPs shall develop operating procedures specifying voltage setpoints and operating ranges of transmission controlled reactive resources to minimize the dependence on generation-supplied reactive resources. Generator step-up transformer tap settings will be managed to maximize the use of the transmission system for all Market Participants while maintaining adequate reliability.</w:t>
      </w:r>
    </w:p>
    <w:p>
      <w:pPr>
        <w:pStyle w:val="05textparagraph"/>
        <w:rPr/>
      </w:pPr>
      <w:r>
        <w:rPr/>
        <w:t>(3)</w:t>
        <w:tab/>
        <w:t>The QSEs providing Voltage Support Service shall meet the deployment performance requirements specified in Section 6.10.4 – Ancillary Services Deployment Measures</w:t>
      </w:r>
    </w:p>
    <w:p>
      <w:pPr>
        <w:pStyle w:val="05textparagraph"/>
        <w:rPr/>
      </w:pPr>
      <w:r>
        <w:rPr/>
      </w:r>
    </w:p>
    <w:p>
      <w:pPr>
        <w:pStyle w:val="Heading3"/>
        <w:numPr>
          <w:ilvl w:val="2"/>
          <w:numId w:val="18"/>
        </w:numPr>
        <w:ind w:hanging="0" w:start="0"/>
        <w:rPr/>
      </w:pPr>
      <w:r>
        <w:rPr/>
        <w:t>Deployment of Out-of-Merit Energy Service</w:t>
      </w:r>
    </w:p>
    <w:p>
      <w:pPr>
        <w:pStyle w:val="05textparagraph"/>
        <w:rPr/>
      </w:pPr>
      <w:r>
        <w:rPr/>
        <w:t>Deployment of units for OOME Service will follow Balancing Energy Service deployment guidelines as specified in Section 5 of the Protocols.</w:t>
      </w:r>
    </w:p>
    <w:p>
      <w:pPr>
        <w:pStyle w:val="Heading3"/>
        <w:numPr>
          <w:ilvl w:val="2"/>
          <w:numId w:val="18"/>
        </w:numPr>
        <w:ind w:hanging="0" w:start="0"/>
        <w:rPr/>
      </w:pPr>
      <w:r>
        <w:rPr/>
        <w:t xml:space="preserve">Deployment of RMR Service </w:t>
      </w:r>
    </w:p>
    <w:p>
      <w:pPr>
        <w:pStyle w:val="05textparagraph"/>
        <w:rPr/>
      </w:pPr>
      <w:r>
        <w:rPr/>
        <w:t>(1)</w:t>
        <w:tab/>
        <w:t xml:space="preserve">If Market Solutions are not available, ERCOT shall have the right to dispatch a contracted RMR facility at any time for voltage support or localized transmission limitations, but it must dispatch the unit as early as possible (if conditions merit) once conditions are identified that require the use of the RMR facility and only to the extent of megawatt loading necessary to correct the voltage support or localized transmission limitation. </w:t>
      </w:r>
    </w:p>
    <w:p>
      <w:pPr>
        <w:pStyle w:val="05textparagraph"/>
        <w:rPr/>
      </w:pPr>
      <w:r>
        <w:rPr/>
        <w:t>(2)</w:t>
        <w:tab/>
        <w:t xml:space="preserve">ERCOT may elect to use units under an RMR contract before issuing an OOMC or OOME Dispatch Instruction. </w:t>
      </w:r>
    </w:p>
    <w:p>
      <w:pPr>
        <w:pStyle w:val="05textparagraph"/>
        <w:rPr/>
      </w:pPr>
      <w:r>
        <w:rPr/>
        <w:t>(3)</w:t>
        <w:tab/>
        <w:t xml:space="preserve">ERCOT will deploy RMR in accordance with the RMR contract.  RMR contracts with ERCOT are expected to include limitations on the total service hours, megawatt-hour output, and the number of starts available to ERCOT for each RMR unit. </w:t>
      </w:r>
    </w:p>
    <w:p>
      <w:pPr>
        <w:pStyle w:val="05textparagraph"/>
        <w:rPr/>
      </w:pPr>
      <w:r>
        <w:rPr/>
        <w:t>(4)</w:t>
        <w:tab/>
        <w:t xml:space="preserve"> ERCOT shall issue deployment instructions via the Messaging System for any RMR deployment.  Any revisions to those instructions must be communicated via revised Dispatch Instructions.  </w:t>
      </w:r>
    </w:p>
    <w:p>
      <w:pPr>
        <w:pStyle w:val="05textparagraph"/>
        <w:rPr/>
      </w:pPr>
      <w:r>
        <w:rPr/>
        <w:t>(5)</w:t>
        <w:tab/>
        <w:t>ERCOT shall publicly post an annual forecast of the dispatch pattern it expects for each contracted RMR facility as well as monthly and week-ahead forecasts regarding its use of such facilities.</w:t>
      </w:r>
    </w:p>
    <w:p>
      <w:pPr>
        <w:pStyle w:val="05textparagraph"/>
        <w:rPr/>
      </w:pPr>
      <w:r>
        <w:rPr/>
        <w:t>(6)</w:t>
        <w:tab/>
        <w:t>If adjustments made by ERCOT would result in the QSE exceeding its scheduled amount of generation, then the affected QSE must accommodate these changes by adjusting other resources such that the Generator Schedule Error is minimized.</w:t>
      </w:r>
    </w:p>
    <w:p>
      <w:pPr>
        <w:pStyle w:val="Heading2"/>
        <w:numPr>
          <w:ilvl w:val="1"/>
          <w:numId w:val="18"/>
        </w:numPr>
        <w:ind w:hanging="0" w:start="0"/>
        <w:rPr/>
      </w:pPr>
      <w:bookmarkStart w:id="8" w:name="__RefHeading___Toc489344928"/>
      <w:bookmarkEnd w:id="8"/>
      <w:r>
        <w:rPr/>
        <w:t>Compensation for Services Provided</w:t>
      </w:r>
    </w:p>
    <w:p>
      <w:pPr>
        <w:pStyle w:val="Normal"/>
        <w:rPr/>
      </w:pPr>
      <w:r>
        <w:rPr/>
        <w:t>This section of the Protocols provides a high level summary of Ancillary Service payments details of which can be found in the Settlement section of these Protocols.</w:t>
      </w:r>
    </w:p>
    <w:p>
      <w:pPr>
        <w:pStyle w:val="Heading3"/>
        <w:numPr>
          <w:ilvl w:val="2"/>
          <w:numId w:val="18"/>
        </w:numPr>
        <w:ind w:hanging="0" w:start="0"/>
        <w:rPr/>
      </w:pPr>
      <w:r>
        <w:rPr/>
        <w:t>Payments to Providers of Ancillary Services Procured in the Day Ahead and Adjustment Periods</w:t>
      </w:r>
    </w:p>
    <w:p>
      <w:pPr>
        <w:pStyle w:val="05textparagraph"/>
        <w:rPr/>
      </w:pPr>
      <w:r>
        <w:rPr/>
        <w:t>Payments to Providers of Regulation Down, Regulation Up, Responsive Reserves, Non-Spinning Reserves, and Replacement Reserves and Balancing Energy are as described below.</w:t>
      </w:r>
    </w:p>
    <w:p>
      <w:pPr>
        <w:pStyle w:val="Heading4"/>
        <w:numPr>
          <w:ilvl w:val="3"/>
          <w:numId w:val="18"/>
        </w:numPr>
        <w:ind w:hanging="0" w:start="0"/>
        <w:rPr/>
      </w:pPr>
      <w:r>
        <w:rPr/>
        <w:t xml:space="preserve">Payments for Ancillary Service Capacity </w:t>
      </w:r>
    </w:p>
    <w:p>
      <w:pPr>
        <w:pStyle w:val="05textparagraph"/>
        <w:rPr/>
      </w:pPr>
      <w:r>
        <w:rPr/>
        <w:t xml:space="preserve">A QSE whose bid to provide an Ancillary Service resource to ERCOT is accepted in ERCOT’s Day-Ahead Ancillary Service procurement process shall be paid for services other than RPRS the amount (in megawatts) of Ancillary Service capacity accepted by ERCOT, multiplied by the MCPC for the Ancillary Service, by hour. </w:t>
      </w:r>
    </w:p>
    <w:p>
      <w:pPr>
        <w:pStyle w:val="05textparagraph"/>
        <w:rPr/>
      </w:pPr>
      <w:r>
        <w:rPr/>
        <w:t xml:space="preserve">A QSE whose bid to provide an Ancillary Service resource except RPRS to ERCOT is accepted shall be paid the amount (in megawatts) of Ancillary Service capacity accepted by ERCOT, multiplied by the highest MCPC of all the procurement processes for that service for a single operating hour. </w:t>
      </w:r>
    </w:p>
    <w:p>
      <w:pPr>
        <w:pStyle w:val="Heading4"/>
        <w:numPr>
          <w:ilvl w:val="3"/>
          <w:numId w:val="18"/>
        </w:numPr>
        <w:ind w:hanging="0" w:start="0"/>
        <w:rPr/>
      </w:pPr>
      <w:r>
        <w:rPr/>
        <w:t xml:space="preserve">Payments for Balancing Energy Provided from Ancillary Services During the Operating Period </w:t>
      </w:r>
    </w:p>
    <w:p>
      <w:pPr>
        <w:pStyle w:val="05textparagraph"/>
        <w:rPr/>
      </w:pPr>
      <w:r>
        <w:rPr/>
        <w:t>All Balancing Energy deployed by a Dispatch Instruction from Balancing Energy Service, Responsive Reserve Service, Regulation Reserve Service, or Non-Spinning Reserve Service shall be settled as Balancing Energy at the MCPE of the Congestion Zone of the resource providing the energy.  Settlement for any energy provided without an authorized Dispatch Instruction will be settled according to Section 6.8.1.3.  QSEs providing unit specific dispatch arrangements as a result of authorized Dispatch Instructions will be settled at the MCPC of the Congestion Zone of the resource plus be paid the unit specific premium bid times the amount of megawatts in the Dispatch Instruction.</w:t>
      </w:r>
    </w:p>
    <w:p>
      <w:pPr>
        <w:pStyle w:val="05textparagraph"/>
        <w:rPr/>
      </w:pPr>
      <w:r>
        <w:rPr/>
      </w:r>
    </w:p>
    <w:p>
      <w:pPr>
        <w:pStyle w:val="Heading4"/>
        <w:numPr>
          <w:ilvl w:val="3"/>
          <w:numId w:val="18"/>
        </w:numPr>
        <w:ind w:hanging="0" w:start="0"/>
        <w:rPr/>
      </w:pPr>
      <w:r>
        <w:rPr/>
        <w:t>Payments for Balancing Energy Provided from Uninstructed Dispatch</w:t>
      </w:r>
    </w:p>
    <w:p>
      <w:pPr>
        <w:pStyle w:val="Normal"/>
        <w:rPr/>
      </w:pPr>
      <w:r>
        <w:rPr/>
        <w:t>Resources will be paid a fraction of the market clearing price for non-instructed deviations on an ERCOT-wide basis.</w:t>
      </w:r>
      <w:r>
        <w:rPr>
          <w:rStyle w:val="FootnoteCharacters"/>
          <w:rStyle w:val="FootnoteReference"/>
        </w:rPr>
        <w:footnoteReference w:id="2"/>
      </w:r>
    </w:p>
    <w:p>
      <w:pPr>
        <w:pStyle w:val="06notes"/>
        <w:rPr/>
      </w:pPr>
      <w:r>
        <w:rPr/>
        <w:t>Need text here.</w:t>
      </w:r>
    </w:p>
    <w:p>
      <w:pPr>
        <w:pStyle w:val="Normal"/>
        <w:rPr/>
      </w:pPr>
      <w:r>
        <w:rPr/>
      </w:r>
    </w:p>
    <w:p>
      <w:pPr>
        <w:pStyle w:val="Heading3"/>
        <w:numPr>
          <w:ilvl w:val="2"/>
          <w:numId w:val="18"/>
        </w:numPr>
        <w:ind w:hanging="0" w:start="0"/>
        <w:rPr/>
      </w:pPr>
      <w:r>
        <w:rPr/>
        <w:t>Capacity and Energy Payments for Out-of-Merit Service</w:t>
      </w:r>
    </w:p>
    <w:p>
      <w:pPr>
        <w:pStyle w:val="Heading4"/>
        <w:numPr>
          <w:ilvl w:val="3"/>
          <w:numId w:val="18"/>
        </w:numPr>
        <w:ind w:hanging="0" w:start="0"/>
        <w:rPr/>
      </w:pPr>
      <w:r>
        <w:rPr/>
        <w:t>Capacity Payments</w:t>
      </w:r>
    </w:p>
    <w:p>
      <w:pPr>
        <w:pStyle w:val="05textparagraph"/>
        <w:numPr>
          <w:ilvl w:val="0"/>
          <w:numId w:val="12"/>
        </w:numPr>
        <w:ind w:hanging="0" w:start="0" w:end="0"/>
        <w:rPr/>
      </w:pPr>
      <w:r>
        <w:rPr/>
        <w:t>(1)</w:t>
        <w:tab/>
        <w:t>OOMC Service can be used by ERCOT as a procured Replacement Reserve resource in the AP where necessary for supporting emergency operations and providing voltage support, stability or to manage localized transmission limitations.  OOMC Service can be used only if there is no eligible Market Solution or available contracted RMR Service. In accordance with Section 6.6.4.1, if ERCOT calls on a Replacement Reserves bid that is in merit order, ERCOT will pay the QSE the MCPC of the Replacement Reserves market multiplied by the number of megawatts of the Replacement Reserves bid.</w:t>
      </w:r>
    </w:p>
    <w:p>
      <w:pPr>
        <w:pStyle w:val="05textparagraph"/>
        <w:rPr/>
      </w:pPr>
      <w:r>
        <w:rPr/>
        <w:t>(2)</w:t>
        <w:tab/>
        <w:t>The payment of OOMC Service will incorporate the use of a Current Resource Specific Percentage (CRSP). The CRSP will be based on the number of times a specific resource is used to resolve a localized problem where a market solution does not exist.</w:t>
      </w:r>
    </w:p>
    <w:p>
      <w:pPr>
        <w:pStyle w:val="16listlevel1"/>
        <w:numPr>
          <w:ilvl w:val="0"/>
          <w:numId w:val="0"/>
        </w:numPr>
        <w:ind w:hanging="0" w:start="0"/>
        <w:rPr/>
      </w:pPr>
      <w:r>
        <w:rPr/>
        <w:t>(3)</w:t>
        <w:tab/>
        <w:t>The Current Resource Specific Percentage will begin at 150% and remain at 150% if the resource has been used to provide OOMC Service equal to or less than 5 times in the previous 90 days.  The CRSP will be set to 125% and remain at 125% if the resource has been used to provide OOMC Service more than 5 times but less than 10 times in the previous 90 days. The CRSP will be set to 100% and remain at 100% if the resource has been used to provide OOMC Service more than 10 times in the previous 90 days.</w:t>
      </w:r>
    </w:p>
    <w:p>
      <w:pPr>
        <w:pStyle w:val="16listlevel1"/>
        <w:numPr>
          <w:ilvl w:val="0"/>
          <w:numId w:val="14"/>
        </w:numPr>
        <w:tabs>
          <w:tab w:val="clear" w:pos="720"/>
        </w:tabs>
        <w:ind w:hanging="0" w:start="0" w:end="0"/>
        <w:rPr/>
      </w:pPr>
      <w:r>
        <w:rPr/>
        <w:t xml:space="preserve"> </w:t>
      </w:r>
      <w:r>
        <w:rPr/>
        <w:t>If ERCOT determines that there is not a Market Solution, ERCOT will pay QSEs representing Replacement Reserve resources the lower of the actual bid for that resource submitted or the CRSP multiplied by  the MCPC for Replacement Reserves for the Congestion Zone  market. If no RPRS bids were selected in the market for the Congestion Zone, the MCPC  will equal the next higher bid after the highest bid called on, other than the Out-of-Merit-Order resource in that Congestion Zone or of all replacement bids if a bid in the Congestion Zone does not exist.</w:t>
      </w:r>
    </w:p>
    <w:p>
      <w:pPr>
        <w:pStyle w:val="05textparagraph"/>
        <w:tabs>
          <w:tab w:val="clear" w:pos="720"/>
          <w:tab w:val="left" w:pos="2133" w:leader="none"/>
        </w:tabs>
        <w:rPr/>
      </w:pPr>
      <w:r>
        <w:rPr/>
        <w:t>(5)</w:t>
        <w:tab/>
        <w:t>If a specific resource required by ERCOT has not submitted an RPRS bid then ERCOT may call that resource, if it is available. ERCOT will pay the QSE representing that resource the CRSP multiplied by  the next higher bid after the highest bid procured in the Congestion Zone for Replacement Reserves or of all replacement bids if a bid in the Congestion Zone does not exist.</w:t>
      </w:r>
    </w:p>
    <w:p>
      <w:pPr>
        <w:pStyle w:val="05textparagraph"/>
        <w:numPr>
          <w:ilvl w:val="0"/>
          <w:numId w:val="22"/>
        </w:numPr>
        <w:tabs>
          <w:tab w:val="clear" w:pos="720"/>
        </w:tabs>
        <w:ind w:hanging="0" w:start="0" w:end="0"/>
        <w:rPr/>
      </w:pPr>
      <w:r>
        <w:rPr/>
        <w:t>If ERCOT payment does not cover the actual costs of the RPRS resource as a result of OOMC, the resource provider will be reimbursed for all verifiable, incremental costs directly attributable to the OOMC procurement, and not recovered through any other mechanism.</w:t>
      </w:r>
    </w:p>
    <w:p>
      <w:pPr>
        <w:pStyle w:val="05textparagraph"/>
        <w:numPr>
          <w:ilvl w:val="0"/>
          <w:numId w:val="22"/>
        </w:numPr>
        <w:tabs>
          <w:tab w:val="clear" w:pos="720"/>
        </w:tabs>
        <w:ind w:hanging="0" w:start="0" w:end="0"/>
        <w:rPr/>
      </w:pPr>
      <w:r>
        <w:rPr/>
        <w:t>The ERCOT and PUCT will review the cost of correcting localized transmission limitations through new construction or other means and will compare this to the costs incurred to correct those problems.  ERCOT shall publish the average by period cost of the constraint for each transmission limitation subtotaled by TDSP.  This information will be included in their annual transmission planning report. If the projected or actual cost of OOMC, OOME, and/or RMR is greater than the cost of correcting the transmission limitations through construction of facilities, then ERCOT and PUCT may order an upgrade of facilities to the TDSP.</w:t>
      </w:r>
    </w:p>
    <w:p>
      <w:pPr>
        <w:pStyle w:val="Heading4"/>
        <w:numPr>
          <w:ilvl w:val="3"/>
          <w:numId w:val="18"/>
        </w:numPr>
        <w:ind w:hanging="0" w:start="0"/>
        <w:rPr/>
      </w:pPr>
      <w:r>
        <w:rPr/>
        <w:t>Energy Payments</w:t>
      </w:r>
    </w:p>
    <w:p>
      <w:pPr>
        <w:pStyle w:val="06notes"/>
        <w:rPr/>
      </w:pPr>
      <w:r>
        <w:rPr/>
        <w:t>(1)</w:t>
        <w:tab/>
        <w:t>Whenever a resource is called on for OOME INC, the QSE will receive an OOME energy payment of the higher of: (a) the product of the  highest price natural gas index posted daily for the Houston Ship Channel times 18 for any resource, regardless of its fuel source, or (b) the MCPE for the Congestion Zone multiplied by the total amount of energy actually produced by the resource</w:t>
      </w:r>
    </w:p>
    <w:p>
      <w:pPr>
        <w:pStyle w:val="05textparagraph"/>
        <w:numPr>
          <w:ilvl w:val="0"/>
          <w:numId w:val="12"/>
        </w:numPr>
        <w:tabs>
          <w:tab w:val="clear" w:pos="720"/>
        </w:tabs>
        <w:ind w:hanging="0" w:start="0" w:end="0"/>
        <w:rPr/>
      </w:pPr>
      <w:r>
        <w:rPr/>
        <w:t>If a resource is called to provide OOME INC service and the payment for OOME service is insufficient to cover all costs of providing the service, then that resource will be paid, in addition to the energy payment, all verifiable, costs in excess of the OOME payment that are directly attributable to the OOME service.  These costs may include the cost of exceeding swing gas contract limits, additional gas demand costs set by the fuel supply or transportation contracts and any additional costs to purchase emissions credits or other costs incurred due to environmental regulations.</w:t>
      </w:r>
    </w:p>
    <w:p>
      <w:pPr>
        <w:pStyle w:val="05textparagraph"/>
        <w:numPr>
          <w:ilvl w:val="0"/>
          <w:numId w:val="12"/>
        </w:numPr>
        <w:tabs>
          <w:tab w:val="clear" w:pos="720"/>
        </w:tabs>
        <w:ind w:hanging="0" w:start="0" w:end="0"/>
        <w:rPr/>
      </w:pPr>
      <w:r>
        <w:rPr/>
        <w:t>Whenever a resource is called on for OOMC DEC and the QSE will pay an OOME energy payment of the lower of (a) $10.00 or (b) the MCPE of the Congestion Zone multiplied by the total amount of energy the ISO requested to be reduced by the resource.</w:t>
      </w:r>
    </w:p>
    <w:p>
      <w:pPr>
        <w:pStyle w:val="05textparagraph"/>
        <w:rPr/>
      </w:pPr>
      <w:r>
        <w:rPr/>
        <w:t>The $10.00 payment referred to above has yet to be reviewed and approved.</w:t>
      </w:r>
    </w:p>
    <w:p>
      <w:pPr>
        <w:pStyle w:val="Heading3"/>
        <w:numPr>
          <w:ilvl w:val="2"/>
          <w:numId w:val="18"/>
        </w:numPr>
        <w:ind w:hanging="0" w:start="0"/>
        <w:rPr/>
      </w:pPr>
      <w:r>
        <w:rPr/>
        <w:t>Capacity and Energy Payments for RMR Service</w:t>
      </w:r>
    </w:p>
    <w:p>
      <w:pPr>
        <w:pStyle w:val="05textparagraph"/>
        <w:rPr/>
      </w:pPr>
      <w:r>
        <w:rPr/>
        <w:t>RMR units providing services will be paid according to their contract.</w:t>
      </w:r>
    </w:p>
    <w:p>
      <w:pPr>
        <w:pStyle w:val="Heading3"/>
        <w:numPr>
          <w:ilvl w:val="2"/>
          <w:numId w:val="18"/>
        </w:numPr>
        <w:ind w:hanging="0" w:start="0"/>
        <w:rPr/>
      </w:pPr>
      <w:r>
        <w:rPr/>
        <w:t>Capacity Payments for Voltage Support Provided to ERCOT</w:t>
      </w:r>
    </w:p>
    <w:p>
      <w:pPr>
        <w:pStyle w:val="05textparagraph"/>
        <w:rPr/>
      </w:pPr>
      <w:r>
        <w:rPr/>
        <w:t>There are no capacity reservation fees or payments associated with the provision of Voltage Support.</w:t>
      </w:r>
    </w:p>
    <w:p>
      <w:pPr>
        <w:pStyle w:val="Heading3"/>
        <w:numPr>
          <w:ilvl w:val="2"/>
          <w:numId w:val="18"/>
        </w:numPr>
        <w:ind w:hanging="0" w:start="0"/>
        <w:rPr/>
      </w:pPr>
      <w:r>
        <w:rPr/>
        <w:t xml:space="preserve">Capacity Payments for Resources Supplied to ERCOT for Black Start Service </w:t>
      </w:r>
    </w:p>
    <w:p>
      <w:pPr>
        <w:pStyle w:val="05textparagraph"/>
        <w:rPr/>
      </w:pPr>
      <w:r>
        <w:rPr/>
        <w:t xml:space="preserve">ERCOT will pay an annual </w:t>
      </w:r>
      <w:r>
        <w:rPr>
          <w:rFonts w:cs="TIMES" w:ascii="TIMES" w:hAnsi="TIMES"/>
        </w:rPr>
        <w:t xml:space="preserve">dollar-per-megawatt capacity fee and dollar-per-megawatt-hour </w:t>
      </w:r>
      <w:r>
        <w:rPr/>
        <w:t>fuel cost used for actual Black Start deployed pursuant to the terms of the PGC’s long-term contract with ERCOT.</w:t>
      </w:r>
    </w:p>
    <w:p>
      <w:pPr>
        <w:pStyle w:val="05textparagraph"/>
        <w:rPr/>
      </w:pPr>
      <w:r>
        <w:rPr/>
      </w:r>
    </w:p>
    <w:p>
      <w:pPr>
        <w:pStyle w:val="Heading2"/>
        <w:numPr>
          <w:ilvl w:val="1"/>
          <w:numId w:val="18"/>
        </w:numPr>
        <w:ind w:hanging="0" w:start="0"/>
        <w:rPr/>
      </w:pPr>
      <w:bookmarkStart w:id="9" w:name="__RefHeading___Toc489344929"/>
      <w:bookmarkEnd w:id="9"/>
      <w:r>
        <w:rPr/>
        <w:t>Settlement Obligations for ERCOT-Provided Ancillary Services</w:t>
      </w:r>
    </w:p>
    <w:p>
      <w:pPr>
        <w:pStyle w:val="Heading3"/>
        <w:numPr>
          <w:ilvl w:val="2"/>
          <w:numId w:val="18"/>
        </w:numPr>
        <w:ind w:hanging="0" w:start="0"/>
        <w:rPr/>
      </w:pPr>
      <w:r>
        <w:rPr/>
        <w:t>Settlement Obligations for ERCOT Ancillary Service Capacity Procured in the Day Ahead</w:t>
      </w:r>
    </w:p>
    <w:p>
      <w:pPr>
        <w:pStyle w:val="05textparagraph"/>
        <w:rPr/>
      </w:pPr>
      <w:r>
        <w:rPr/>
        <w:t>ERCOT shall allocate to each QSE representing load that portion of the QSE’s total requirement of each of the Ancillary Services of Regulation Up, Regulation Down, Responsive Reserve Service, and Non-Spinning Reserve Service. . ERCOT shall determine each allocation based on the QSE’s ratio of Ancillary Services shown in the applicable AS Plan.</w:t>
      </w:r>
    </w:p>
    <w:p>
      <w:pPr>
        <w:pStyle w:val="05textparagraph"/>
        <w:rPr/>
      </w:pPr>
      <w:r>
        <w:rPr/>
        <w:t>(1)</w:t>
        <w:tab/>
        <w:t>The QSE’s settlement obligation quantity shall be the QSE’s total obligation minus any Self-Arranged resources scheduled and provided subject to the limit for Self-Arranged Ancillary Services in accordance with Section 6.6 (AS section for SA limit).</w:t>
      </w:r>
    </w:p>
    <w:p>
      <w:pPr>
        <w:pStyle w:val="Normal"/>
        <w:rPr/>
      </w:pPr>
      <w:r>
        <w:rPr/>
        <w:t>(2)</w:t>
        <w:tab/>
        <w:t>Each QSE’s settlement obligation, in dollars, for each Ancillary Service, by hour, shall be equal MCPC for the ancillary service (in dollars per megawatt), multiplied by the QSE’s settlement obligation (in megawatts)</w:t>
      </w:r>
    </w:p>
    <w:p>
      <w:pPr>
        <w:pStyle w:val="Normal"/>
        <w:rPr/>
      </w:pPr>
      <w:r>
        <w:rPr/>
      </w:r>
    </w:p>
    <w:p>
      <w:pPr>
        <w:pStyle w:val="Heading3"/>
        <w:numPr>
          <w:ilvl w:val="2"/>
          <w:numId w:val="18"/>
        </w:numPr>
        <w:ind w:hanging="0" w:start="0"/>
        <w:rPr/>
      </w:pPr>
      <w:r>
        <w:rPr/>
        <w:t xml:space="preserve">QSE Obligations for Capacity Services Obtained in the Adjustment Period </w:t>
      </w:r>
    </w:p>
    <w:p>
      <w:pPr>
        <w:pStyle w:val="Normal"/>
        <w:rPr/>
      </w:pPr>
      <w:r>
        <w:rPr/>
      </w:r>
    </w:p>
    <w:p>
      <w:pPr>
        <w:pStyle w:val="Heading4"/>
        <w:numPr>
          <w:ilvl w:val="3"/>
          <w:numId w:val="18"/>
        </w:numPr>
        <w:ind w:hanging="0" w:start="0"/>
        <w:rPr/>
      </w:pPr>
      <w:r>
        <w:rPr/>
        <w:t>Settlement Obligation for Regulation, Responsive and Non-Spinning Reserve Service</w:t>
      </w:r>
    </w:p>
    <w:p>
      <w:pPr>
        <w:pStyle w:val="05textparagraph"/>
        <w:rPr/>
      </w:pPr>
      <w:r>
        <w:rPr/>
        <w:t>All costs of ERCOT AP procurement of Regulation Up, Regulation Down, Responsive Reserve Service, and Non-Spinning Reserve Service shall be allocated to QSEs in the same manner as allocation of DA procurement costs for these Ancillary Services.</w:t>
      </w:r>
    </w:p>
    <w:p>
      <w:pPr>
        <w:pStyle w:val="Heading4"/>
        <w:numPr>
          <w:ilvl w:val="3"/>
          <w:numId w:val="18"/>
        </w:numPr>
        <w:ind w:hanging="0" w:start="0"/>
        <w:rPr/>
      </w:pPr>
      <w:r>
        <w:rPr/>
        <w:t xml:space="preserve">Settlement Obligation for RPRS </w:t>
      </w:r>
    </w:p>
    <w:p>
      <w:pPr>
        <w:pStyle w:val="05textparagraph"/>
        <w:rPr/>
      </w:pPr>
      <w:r>
        <w:rPr/>
        <w:t>The Settlement Obligation for RPRS shall be as follows:</w:t>
      </w:r>
    </w:p>
    <w:p>
      <w:pPr>
        <w:pStyle w:val="Normal"/>
        <w:rPr/>
      </w:pPr>
      <w:r>
        <w:rPr/>
      </w:r>
    </w:p>
    <w:p>
      <w:pPr>
        <w:pStyle w:val="05textparagraph"/>
        <w:rPr/>
      </w:pPr>
      <w:r>
        <w:rPr/>
        <w:t>(1)</w:t>
        <w:tab/>
        <w:t>A QSE’s zonal Obligation for Replacement Reserves procured for insufficient Balanced Schedule capacity will be:</w:t>
      </w:r>
    </w:p>
    <w:p>
      <w:pPr>
        <w:pStyle w:val="16listlevel1"/>
        <w:numPr>
          <w:ilvl w:val="1"/>
          <w:numId w:val="30"/>
        </w:numPr>
        <w:rPr/>
      </w:pPr>
      <w:r>
        <w:rPr/>
        <w:t>The zonal RPRS MCPC, multiplied by</w:t>
      </w:r>
    </w:p>
    <w:p>
      <w:pPr>
        <w:pStyle w:val="16listlevel1"/>
        <w:numPr>
          <w:ilvl w:val="1"/>
          <w:numId w:val="30"/>
        </w:numPr>
        <w:rPr/>
      </w:pPr>
      <w:r>
        <w:rPr/>
        <w:t xml:space="preserve">the total MW that the QSE is insufficient in that zone, </w:t>
      </w:r>
    </w:p>
    <w:p>
      <w:pPr>
        <w:pStyle w:val="16listlevel1"/>
        <w:numPr>
          <w:ilvl w:val="1"/>
          <w:numId w:val="30"/>
        </w:numPr>
        <w:rPr/>
      </w:pPr>
      <w:r>
        <w:rPr/>
        <w:t xml:space="preserve">where insufficiency is equal to the maximum difference of the QSE’s </w:t>
      </w:r>
    </w:p>
    <w:p>
      <w:pPr>
        <w:pStyle w:val="16listlevel1"/>
        <w:numPr>
          <w:ilvl w:val="2"/>
          <w:numId w:val="30"/>
        </w:numPr>
        <w:rPr/>
      </w:pPr>
      <w:r>
        <w:rPr/>
        <w:t>actual resources and the QSE’s scheduled resources at the time RPRS market closes, or</w:t>
      </w:r>
    </w:p>
    <w:p>
      <w:pPr>
        <w:pStyle w:val="16listlevel1"/>
        <w:numPr>
          <w:ilvl w:val="2"/>
          <w:numId w:val="30"/>
        </w:numPr>
        <w:rPr/>
      </w:pPr>
      <w:r>
        <w:rPr>
          <w:rFonts w:cs="TIMES" w:ascii="TIMES" w:hAnsi="TIMES"/>
        </w:rPr>
        <w:t>actual resources and the QSE’s final schedule of resources.</w:t>
      </w:r>
    </w:p>
    <w:p>
      <w:pPr>
        <w:pStyle w:val="06notes"/>
        <w:rPr>
          <w:rFonts w:ascii="TIMES" w:hAnsi="TIMES" w:cs="TIMES"/>
        </w:rPr>
      </w:pPr>
      <w:r>
        <w:rPr>
          <w:rFonts w:cs="TIMES" w:ascii="TIMES" w:hAnsi="TIMES"/>
        </w:rPr>
        <w:t>Note: the above allocation will result in overcollection — possibly gross overcollection — of RPRS insufficiency resources relative to ERCOT procurement. For example, though ERCOT only procures 500 MW of RPRS for capacity insufficiency, QSE’s could be charged for thousands of MWs of RPRS if either ERCOT found it unnecessary to buy excess capacity or if other QSE’s were forecast to oversupply. Thus, as written, this charge is punitive rather than directly reflecting cost-causation.</w:t>
      </w:r>
    </w:p>
    <w:p>
      <w:pPr>
        <w:pStyle w:val="05textparagraph"/>
        <w:rPr/>
      </w:pPr>
      <w:r>
        <w:rPr/>
        <w:t>(2)</w:t>
        <w:tab/>
        <w:t>During the Interim Period, a QSE's Obligation for Replacement Reserves procured for CSC congestion will be its share of the Congestion Management Fund, in accordance with Section 7.3.3.1</w:t>
      </w:r>
    </w:p>
    <w:p>
      <w:pPr>
        <w:pStyle w:val="05textparagraph"/>
        <w:rPr/>
      </w:pPr>
      <w:r>
        <w:rPr/>
        <w:t>(3)</w:t>
        <w:tab/>
        <w:t xml:space="preserve">Following the Interim Period, a QSE’s Obligation for Replacement Reserves procured for CSC congestion determined by the Commercial Model will be: </w:t>
      </w:r>
    </w:p>
    <w:p>
      <w:pPr>
        <w:pStyle w:val="16listlevel1"/>
        <w:numPr>
          <w:ilvl w:val="1"/>
          <w:numId w:val="23"/>
        </w:numPr>
        <w:rPr/>
      </w:pPr>
      <w:r>
        <w:rPr/>
        <w:t xml:space="preserve">The marginal price of the constraint as determined by the mathematical optimization process, multiplied by </w:t>
      </w:r>
    </w:p>
    <w:p>
      <w:pPr>
        <w:pStyle w:val="16listlevel1"/>
        <w:numPr>
          <w:ilvl w:val="1"/>
          <w:numId w:val="23"/>
        </w:numPr>
        <w:rPr/>
      </w:pPr>
      <w:r>
        <w:rPr/>
        <w:t xml:space="preserve">the QSE’s total megawatt impact on the CSC Congestion total megawatts that the QSE is insufficient in that zone, </w:t>
      </w:r>
    </w:p>
    <w:p>
      <w:pPr>
        <w:pStyle w:val="16listlevel1"/>
        <w:numPr>
          <w:ilvl w:val="1"/>
          <w:numId w:val="23"/>
        </w:numPr>
        <w:rPr/>
      </w:pPr>
      <w:r>
        <w:rPr/>
        <w:t>where insufficiency is equal to the maximum impact on the CSC Congestion based on the:</w:t>
      </w:r>
    </w:p>
    <w:p>
      <w:pPr>
        <w:pStyle w:val="16listlevel1"/>
        <w:numPr>
          <w:ilvl w:val="2"/>
          <w:numId w:val="23"/>
        </w:numPr>
        <w:rPr/>
      </w:pPr>
      <w:r>
        <w:rPr/>
        <w:t>actual flows, or</w:t>
      </w:r>
    </w:p>
    <w:p>
      <w:pPr>
        <w:pStyle w:val="16listlevel1"/>
        <w:numPr>
          <w:ilvl w:val="2"/>
          <w:numId w:val="23"/>
        </w:numPr>
        <w:rPr/>
      </w:pPr>
      <w:r>
        <w:rPr/>
        <w:t>The scheduled flows at the time the RPRS market closes</w:t>
      </w:r>
    </w:p>
    <w:p>
      <w:pPr>
        <w:pStyle w:val="06notes"/>
        <w:rPr>
          <w:rFonts w:ascii="TIMES" w:hAnsi="TIMES" w:cs="TIMES"/>
        </w:rPr>
      </w:pPr>
      <w:r>
        <w:rPr>
          <w:rFonts w:cs="TIMES" w:ascii="TIMES" w:hAnsi="TIMES"/>
        </w:rPr>
        <w:t>Note: the above allocation will result in overcollection — possibly gross overcollection — of RPRS funds relative to ERCOT procurement costs. For example, though ERCOT only procures 500 MW of RPRS for congestion management, QSE’s could be charged for thousands of MWs of RPRS if either ERCOT found it unnecessary to buy excess capacity or if other QSE’s were forecast to provide counter flows. Thus, as written, this charge is punitive rather than directly reflecting cost-causation.</w:t>
      </w:r>
    </w:p>
    <w:p>
      <w:pPr>
        <w:pStyle w:val="16listlevel1"/>
        <w:numPr>
          <w:ilvl w:val="0"/>
          <w:numId w:val="0"/>
        </w:numPr>
        <w:ind w:hanging="0" w:start="0"/>
        <w:rPr/>
      </w:pPr>
      <w:r>
        <w:rPr/>
      </w:r>
    </w:p>
    <w:p>
      <w:pPr>
        <w:pStyle w:val="05textparagraph"/>
        <w:rPr/>
      </w:pPr>
      <w:r>
        <w:rPr/>
        <w:t>(4)</w:t>
        <w:tab/>
        <w:t>A QSE’s Obligation for Replacement Reserves (including OOMC and RMR resources providing RPRS) procured for Operational Congestion, as determined by the mathematical optimization process, will be shared by the QSE’s in relation to their load share of the total ERCOT load for the interval.</w:t>
      </w:r>
    </w:p>
    <w:p>
      <w:pPr>
        <w:pStyle w:val="06notes"/>
        <w:rPr/>
      </w:pPr>
      <w:r>
        <w:rPr/>
        <w:t>A more rigorous treatment of allocation of OOMC, and RMR costs is needed.</w:t>
      </w:r>
    </w:p>
    <w:p>
      <w:pPr>
        <w:pStyle w:val="Normal"/>
        <w:rPr/>
      </w:pPr>
      <w:r>
        <w:rPr/>
        <w:t>(5)</w:t>
        <w:tab/>
        <w:t>The cost of Replacement Capacity that is not assigned in the mathematical optimization process will be shared by all QSEs in relation to their load share of the total ERCOT load for the interval.</w:t>
      </w:r>
    </w:p>
    <w:p>
      <w:pPr>
        <w:pStyle w:val="Heading3"/>
        <w:numPr>
          <w:ilvl w:val="2"/>
          <w:numId w:val="18"/>
        </w:numPr>
        <w:ind w:hanging="0" w:start="0"/>
        <w:rPr/>
      </w:pPr>
      <w:r>
        <w:rPr/>
        <w:t>Settlement Obligation for VSS</w:t>
      </w:r>
    </w:p>
    <w:p>
      <w:pPr>
        <w:pStyle w:val="05textparagraph"/>
        <w:rPr/>
      </w:pPr>
      <w:r>
        <w:rPr/>
        <w:t>There are no ERCOT costs associated with Voltage Support.</w:t>
      </w:r>
    </w:p>
    <w:p>
      <w:pPr>
        <w:pStyle w:val="Heading3"/>
        <w:numPr>
          <w:ilvl w:val="2"/>
          <w:numId w:val="18"/>
        </w:numPr>
        <w:ind w:hanging="0" w:start="0"/>
        <w:rPr/>
      </w:pPr>
      <w:r>
        <w:rPr/>
        <w:t>Settlement Obligation for Black Start Service</w:t>
      </w:r>
    </w:p>
    <w:p>
      <w:pPr>
        <w:pStyle w:val="05textparagraph"/>
        <w:rPr/>
      </w:pPr>
      <w:r>
        <w:rPr/>
        <w:t>A QSE's obligation will be equal to the QSE’s quantity of energy consumed in a month divided by the sum of all QSE's energy consumed in that month, multiplied by the total ERCOT cost for Black Start Services.</w:t>
      </w:r>
    </w:p>
    <w:p>
      <w:pPr>
        <w:pStyle w:val="Heading3"/>
        <w:numPr>
          <w:ilvl w:val="2"/>
          <w:numId w:val="18"/>
        </w:numPr>
        <w:ind w:hanging="0" w:start="0"/>
        <w:rPr/>
      </w:pPr>
      <w:r>
        <w:rPr/>
        <w:t>Settlement Obligation for Balancing Energy Service</w:t>
      </w:r>
    </w:p>
    <w:p>
      <w:pPr>
        <w:pStyle w:val="Heading4"/>
        <w:numPr>
          <w:ilvl w:val="3"/>
          <w:numId w:val="18"/>
        </w:numPr>
        <w:ind w:hanging="0" w:start="0"/>
        <w:rPr/>
      </w:pPr>
      <w:r>
        <w:rPr/>
        <w:t>Balancing Energy Clearing Price</w:t>
      </w:r>
    </w:p>
    <w:p>
      <w:pPr>
        <w:pStyle w:val="05textparagraph"/>
        <w:rPr/>
      </w:pPr>
      <w:r>
        <w:rPr/>
        <w:t xml:space="preserve">A Balancing Energy Market Clearing Price (MCPE) will be calculated for each of the 15-minute Settlement Periods by Congestion Zone as a product of the mathematical optimization model. The MCPE will be used to pay or charge each QSE, for each Settlement Period for Balancing Energy Service. </w:t>
      </w:r>
    </w:p>
    <w:p>
      <w:pPr>
        <w:pStyle w:val="Heading4"/>
        <w:numPr>
          <w:ilvl w:val="3"/>
          <w:numId w:val="18"/>
        </w:numPr>
        <w:ind w:hanging="0" w:start="0"/>
        <w:rPr/>
      </w:pPr>
      <w:r>
        <w:rPr/>
        <w:t>Settlement For Balancing Energy Obligations for Imbalances</w:t>
      </w:r>
    </w:p>
    <w:p>
      <w:pPr>
        <w:pStyle w:val="05textparagraph"/>
        <w:rPr/>
      </w:pPr>
      <w:r>
        <w:rPr/>
        <w:t>For each applicable Congestion Zone and each Settlement Period, each QSE’s charge or credit for Balancing Energy consumed or provided in the Congestion Zone during the Settlement Period shall equal the sum of the product of the Congestion Zone’s MCPE and the QSE’s Balancing Energy obligation for that Congestion Zone for both Resources and Obligations.</w:t>
      </w:r>
    </w:p>
    <w:p>
      <w:pPr>
        <w:pStyle w:val="06notes"/>
        <w:rPr/>
      </w:pPr>
      <w:r>
        <w:rPr/>
        <w:t xml:space="preserve">Need to clarify if there is only a single MCPE during the Interim Period, and if so, how it is calculated.  And if this is the case the following needs to be revised to reflect a system-wide calculation in the interim, followed by a zonal calculation after the end of the Interim Period. </w:t>
      </w:r>
    </w:p>
    <w:p>
      <w:pPr>
        <w:pStyle w:val="05textparagraph"/>
        <w:rPr/>
      </w:pPr>
      <w:r>
        <w:rPr/>
      </w:r>
    </w:p>
    <w:p>
      <w:pPr>
        <w:pStyle w:val="05textparagraph"/>
        <w:rPr/>
      </w:pPr>
      <w:r>
        <w:rPr/>
        <w:t>(1)</w:t>
        <w:tab/>
        <w:t>Each QSE’s Resource energy Balancing Energy obligation quantity in megawatt-hours for each Settlement Period, for each Zone, shall be equal to the QSE’s actual energy production of all resources represented by the QSE during the Settlement Period; minus the QSE’s final balanced schedule of its resources for that Congestion Zone less any inter-QSE trades.</w:t>
      </w:r>
    </w:p>
    <w:p>
      <w:pPr>
        <w:pStyle w:val="05textparagraph"/>
        <w:rPr/>
      </w:pPr>
      <w:r>
        <w:rPr/>
        <w:t>(2)</w:t>
        <w:tab/>
        <w:t>Each QSE’s load Balancing Energy obligation quantity for each Settlement Period, for each Zone, shall be equal to the QSE’s net deemed energy consumption of REP loads represented by the QSE, minus the QSE’s scheduled load obligation (total obligation less any inter-QSE trades) for that Congestion Zone.</w:t>
      </w:r>
    </w:p>
    <w:p>
      <w:pPr>
        <w:pStyle w:val="16listlevel1"/>
        <w:numPr>
          <w:ilvl w:val="0"/>
          <w:numId w:val="0"/>
        </w:numPr>
        <w:ind w:hanging="0" w:start="0"/>
        <w:rPr/>
      </w:pPr>
      <w:r>
        <w:rPr/>
        <w:t>(3)</w:t>
        <w:tab/>
        <w:t xml:space="preserve">Each QSE’s net energy consumption in a Congestion Zone during a Settlement Period shall be adjusted for Unaccounted-for Energy (UFE), Transmission Losses and Distribution Losses, as per Section 13 [T&amp;D Losses] determined by ERCOT in accordance with Section 10 [Data Aggregation]. </w:t>
      </w:r>
    </w:p>
    <w:p>
      <w:pPr>
        <w:pStyle w:val="Heading4"/>
        <w:numPr>
          <w:ilvl w:val="3"/>
          <w:numId w:val="18"/>
        </w:numPr>
        <w:ind w:hanging="0" w:start="0"/>
        <w:rPr/>
      </w:pPr>
      <w:r>
        <w:rPr/>
        <w:t>Settlement For Balancing Energy Obligations for CSC Congestion</w:t>
      </w:r>
    </w:p>
    <w:p>
      <w:pPr>
        <w:pStyle w:val="05textparagraph"/>
        <w:rPr/>
      </w:pPr>
      <w:r>
        <w:rPr/>
        <w:t>ERCOT will charge QSEs for use of CSC paths as follows:</w:t>
      </w:r>
    </w:p>
    <w:p>
      <w:pPr>
        <w:pStyle w:val="05textparagraph"/>
        <w:rPr/>
      </w:pPr>
      <w:r>
        <w:rPr/>
        <w:t>(1)</w:t>
        <w:tab/>
        <w:t>During the Interim Period ERCOT will fund the Congestion Management Fund, including its Balancing Energy requirements, to QSEs based on Load Ratio Share, in accordance with Section 7.3.3.1.  Funds collected in excess of costs will result in a credit to the Congestion Management Fund.</w:t>
      </w:r>
    </w:p>
    <w:p>
      <w:pPr>
        <w:pStyle w:val="05textparagraph"/>
        <w:rPr/>
      </w:pPr>
      <w:r>
        <w:rPr/>
        <w:t>(2)</w:t>
        <w:tab/>
        <w:t>Following the Interim Period, QSEs obligation for each CSC will be equal to the actual flow in megawatts across the CSC, times the Balancing Energy Shadow Price of that CSC, as determined by ERCOT's Operational model.  Funds collected in excess of ERCOT Balancing Energy costs to manage Congestion will be credited to ERCOT Balancing Fund.</w:t>
      </w:r>
    </w:p>
    <w:p>
      <w:pPr>
        <w:pStyle w:val="06notes"/>
        <w:rPr/>
      </w:pPr>
      <w:r>
        <w:rPr/>
        <w:t>Note: the Balancing Energy for CSC Congestion mechanism will overcollect and thereby penalize parties (charge costs above cost impact on ERCOT) for using CSC paths.</w:t>
      </w:r>
    </w:p>
    <w:p>
      <w:pPr>
        <w:pStyle w:val="06notes"/>
        <w:rPr/>
      </w:pPr>
      <w:r>
        <w:rPr/>
        <w:t>No settlement equation exists for the Balancing Fund.  Needs to be added  here and/or in Settlements.</w:t>
      </w:r>
    </w:p>
    <w:p>
      <w:pPr>
        <w:pStyle w:val="Heading3"/>
        <w:numPr>
          <w:ilvl w:val="2"/>
          <w:numId w:val="18"/>
        </w:numPr>
        <w:ind w:hanging="0" w:start="0"/>
        <w:rPr/>
      </w:pPr>
      <w:r>
        <w:rPr/>
        <w:t xml:space="preserve"> </w:t>
      </w:r>
      <w:r>
        <w:rPr/>
        <w:t>Settlement Obligations for Premiums for Individual Resource Dispatch Payments</w:t>
      </w:r>
    </w:p>
    <w:p>
      <w:pPr>
        <w:pStyle w:val="05textparagraph"/>
        <w:rPr/>
      </w:pPr>
      <w:r>
        <w:rPr/>
        <w:t>A QSE’s obligation for premiums paid for managing Operational Congestion, will be shared by the QSE’s in relation to their load share of the total ERCOT load for the hours during which the premiums were paid.</w:t>
      </w:r>
    </w:p>
    <w:p>
      <w:pPr>
        <w:pStyle w:val="Normal"/>
        <w:rPr/>
      </w:pPr>
      <w:r>
        <w:rPr/>
      </w:r>
    </w:p>
    <w:p>
      <w:pPr>
        <w:pStyle w:val="Heading2"/>
        <w:numPr>
          <w:ilvl w:val="1"/>
          <w:numId w:val="18"/>
        </w:numPr>
        <w:ind w:hanging="0" w:start="0"/>
        <w:rPr/>
      </w:pPr>
      <w:bookmarkStart w:id="10" w:name="__RefHeading___Toc489344930"/>
      <w:r>
        <w:rPr/>
        <w:t>Ancillary Service Certification, Testing and Performance Standards</w:t>
      </w:r>
      <w:bookmarkEnd w:id="10"/>
      <w:r>
        <w:rPr/>
        <w:t xml:space="preserve"> </w:t>
      </w:r>
    </w:p>
    <w:p>
      <w:pPr>
        <w:pStyle w:val="06notes"/>
        <w:rPr/>
      </w:pPr>
      <w:r>
        <w:rPr/>
        <w:t>Several terms used in this section were capitalized without their inclusion in the Section 2. Many of these terms have be uncapitalized.  However such terms may have specific meanings with NERC or within the Operating Guides.  Use of cap'ped terms, and associated definitions and acronyms, should be reconsidered for this section.</w:t>
      </w:r>
    </w:p>
    <w:p>
      <w:pPr>
        <w:pStyle w:val="Heading3"/>
        <w:numPr>
          <w:ilvl w:val="2"/>
          <w:numId w:val="18"/>
        </w:numPr>
        <w:ind w:hanging="0" w:start="0"/>
        <w:rPr/>
      </w:pPr>
      <w:r>
        <w:rPr/>
        <w:t>Introduction</w:t>
      </w:r>
    </w:p>
    <w:p>
      <w:pPr>
        <w:pStyle w:val="05textparagraph"/>
        <w:rPr>
          <w:i/>
          <w:i/>
        </w:rPr>
      </w:pPr>
      <w:r>
        <w:rPr/>
        <w:t>QSEs providing Ancillary Services shall meet certification criteria and performance measures to operate satisfactorily with ERCOT. ERCOT shall develop an Ancillary Services certification and testing program and Real Time monitoring program for all suppliers of Ancillary Services that is based on the key factors needed for reliability. This program will be approved by ERCOT Technical AdvERCOTry Committee and will be included in the ERCOT Operating Guides. These attributes shall be measured as precisely and efficiently as possible. General capacity testing verifies a Generating Unit or load acting as a resource, net dependable capability. Certification tests allow the potential provider’s portfolio to demonstrate the minimum capabilities necessary to deploy an Ancillary Service, and performance measures assess the Real Time delivery of a service by an Ancillary Services provider.</w:t>
      </w:r>
    </w:p>
    <w:p>
      <w:pPr>
        <w:pStyle w:val="Heading3"/>
        <w:numPr>
          <w:ilvl w:val="2"/>
          <w:numId w:val="18"/>
        </w:numPr>
        <w:ind w:hanging="0" w:start="0"/>
        <w:rPr/>
      </w:pPr>
      <w:r>
        <w:rPr/>
        <w:t>General Capacity Testing Requirements</w:t>
      </w:r>
    </w:p>
    <w:p>
      <w:pPr>
        <w:pStyle w:val="05textparagraph"/>
        <w:rPr/>
      </w:pPr>
      <w:r>
        <w:rPr/>
        <w:t xml:space="preserve">QSEs shall identify to ERCOT each Generating Unit that is expected to operate more than 168 hours in a Season as a provider of energy and/or ancillary services to have its Net Dependable Capability verified during each Season of expected operation, except for any generating units used solely for energy services and whose capacity is less than 10 MW. Prior to the beginning of each Season, QSEs shall identify the generating units to be tested during the Season and the specific week of the test if known. This schedule may be modified by the QSE (including retests) during the Season. QSEs not identifying a specific week for each generating unit must test units within the first 168 hours of run time during the Season or operate with a net dependable capability equal to the highest integrated hourly MWh output demonstrated during the first 168 hours of run time. QSEs do not have to bring units on-line or shut down solely for the purpose of the Seasonal verification. Any unit for which the QSE desires certification to provide ancillary services shall have its net dependable capability verified prior to providing services using the generating unit. </w:t>
      </w:r>
    </w:p>
    <w:p>
      <w:pPr>
        <w:pStyle w:val="06notes"/>
        <w:rPr/>
      </w:pPr>
      <w:r>
        <w:rPr/>
        <w:t>Capability Testing is for the purpose of verifying reserves counted on a unit. If the unit isn’t providing reserve under RRS, then its capability doesn’t need to be tested. Others think testing is needed on all to support up arrow down arrow analysis.</w:t>
      </w:r>
    </w:p>
    <w:p>
      <w:pPr>
        <w:pStyle w:val="05textparagraph"/>
        <w:rPr/>
      </w:pPr>
      <w:r>
        <w:rPr/>
        <w:t>Load acting as a resource to provide Ancillary Services shall be verified by ERCOT each Season, except when the load interruptability has been verified through response in an actual event. If the load is under the direct control of a NERC certified operator via a SCADA system, Seasonal verification shall consist of a test of the relay function with no actual interruption of load.</w:t>
      </w:r>
    </w:p>
    <w:p>
      <w:pPr>
        <w:pStyle w:val="05textparagraph"/>
        <w:rPr/>
      </w:pPr>
      <w:r>
        <w:rPr/>
        <w:t>Specific loads to be used for the first time as a resource must be correctly verified (tripped) prior to their certification to provide Ancillary Services. At a time selected by ERCOT, ERCOT operator will notify the QSE of the need to verify that loads used as an Ancillary Service can be de-energized. The QSE Operator will immediately initiate the interruption up to the amount being used as a resource and will record for each load interrupted its net dependable capability and time of operation of the breaker controlling the resource. Loads used to provide Responsive Reserve Service shall be certified for correct operation by its host TDSP. The capability of hydro units operating in the synchronous condenser fast response mode to provide hydro Responsive Reserve shall be verified by Season.</w:t>
      </w:r>
    </w:p>
    <w:p>
      <w:pPr>
        <w:pStyle w:val="05textparagraph"/>
        <w:rPr/>
      </w:pPr>
      <w:r>
        <w:rPr/>
        <w:t xml:space="preserve">Generating units and loads acting as resources shall be verified annually by ERCOT for correct operation of telemetry of the breakers controlling the resource, of the mapping of QSE-provided telemetry of Ancillary Service energy to the appropriate energy settlement meter, for data rate update requirements and any other required telemetry attributes. </w:t>
      </w:r>
    </w:p>
    <w:p>
      <w:pPr>
        <w:pStyle w:val="05textparagraph"/>
        <w:rPr/>
      </w:pPr>
      <w:r>
        <w:rPr/>
        <w:t>All generating units and loads acting as a Resource shall meet all requirements specified in the ERCOT Operating Guides for proper response to system frequency. ERCOT may reduce the amount a resource may contribute toward Ancillary Services if it finds unsatisfactory performance of the resource as defined in these Protocols and the ERCOT Operating Guides.</w:t>
      </w:r>
    </w:p>
    <w:p>
      <w:pPr>
        <w:pStyle w:val="Heading3"/>
        <w:numPr>
          <w:ilvl w:val="2"/>
          <w:numId w:val="18"/>
        </w:numPr>
        <w:ind w:hanging="0" w:start="0"/>
        <w:rPr/>
      </w:pPr>
      <w:r>
        <w:rPr/>
        <w:t>Ancillary Services Certification Criteria and Portfolio Test Methods</w:t>
      </w:r>
    </w:p>
    <w:p>
      <w:pPr>
        <w:pStyle w:val="05textparagraph"/>
        <w:rPr/>
      </w:pPr>
      <w:r>
        <w:rPr>
          <w:rStyle w:val="Hypertext1"/>
          <w:b w:val="false"/>
          <w:color w:val="auto"/>
          <w:sz w:val="24"/>
        </w:rPr>
        <w:t>ERCOT may only purchase Ancillary Services from QSEs whose Resource portfolio has been certified and tested satisfactorily. A QSE may apply to ERCOT to be certified to provide one or more services. ERCOT shall develop and operate its certification and testing program to meet the following requirements for each service.</w:t>
      </w:r>
      <w:r>
        <w:rPr/>
        <w:t xml:space="preserve"> </w:t>
      </w:r>
    </w:p>
    <w:p>
      <w:pPr>
        <w:pStyle w:val="05textparagraph"/>
        <w:rPr/>
      </w:pPr>
      <w:r>
        <w:rPr/>
        <w:t>A QSE shall be certified and tested to provide service prior to initial operation and periodically thereafter very five years. ERCOT is authorized to call up to two  an unannounced, unscheduled certification test after presenting to the QSE supporting information of an indication that a resource may not be able to meet its stated Net Dependable Capability during any calendar year.</w:t>
      </w:r>
    </w:p>
    <w:p>
      <w:pPr>
        <w:pStyle w:val="05textparagraph"/>
        <w:rPr/>
      </w:pPr>
      <w:r>
        <w:rPr/>
      </w:r>
    </w:p>
    <w:p>
      <w:pPr>
        <w:pStyle w:val="Heading4"/>
        <w:numPr>
          <w:ilvl w:val="3"/>
          <w:numId w:val="18"/>
        </w:numPr>
        <w:ind w:hanging="0" w:start="0"/>
        <w:rPr/>
      </w:pPr>
      <w:r>
        <w:rPr/>
        <w:t>Regulation</w:t>
      </w:r>
    </w:p>
    <w:p>
      <w:pPr>
        <w:pStyle w:val="05textparagraph"/>
        <w:rPr/>
      </w:pPr>
      <w:r>
        <w:rPr/>
        <w:t>(1)</w:t>
        <w:tab/>
        <w:t>A regulation certification test is conducted during a continuous 60-minute period agreed on in advance by the QSE and ERCOT. QSEs may be certified to provide Regulation Up or Regulation Down, or both, in separate testing.</w:t>
      </w:r>
    </w:p>
    <w:p>
      <w:pPr>
        <w:pStyle w:val="05textparagraph"/>
        <w:rPr/>
      </w:pPr>
      <w:r>
        <w:rPr/>
        <w:t>(2)</w:t>
        <w:tab/>
        <w:t>ERCOT shall confirm the date and time of the test with the QSE using both the primary and alternate voice communication circuits in order to validate the voice circuits.</w:t>
      </w:r>
    </w:p>
    <w:p>
      <w:pPr>
        <w:pStyle w:val="05textparagraph"/>
        <w:rPr/>
      </w:pPr>
      <w:r>
        <w:rPr/>
        <w:t>(3)</w:t>
        <w:tab/>
        <w:t>For the 60-minute duration of the test, when market and reliability conditions allow, ERCOT Control Area Operator shall send a random sequence of raise, hold, and lower control signals to the QSE, effectively representing a typical Regulation Up or Regulation Down deployment. To facilitate accurate measurements, each signal shall remain unchanged for at least one minute. The control signals shall not request QSE portfolio performance beyond the stated high limit, low limit, and ramp rate limit agreed on prior to the test. During the test, one 10-minute period will test the QSE’s ability to achieve the entire amount of Regulation Up requested for certification during the period. One 10-minute period will test the QSE’s ability to achieve the entire amount of Regulation Down requested for certification during the period. To facilitate testing of large portfolios, ERCOT may test maximum ramp capability on subsets of generating units in a portfolio.</w:t>
      </w:r>
    </w:p>
    <w:p>
      <w:pPr>
        <w:pStyle w:val="05textparagraph"/>
        <w:rPr/>
      </w:pPr>
      <w:r>
        <w:rPr/>
        <w:t>(4)</w:t>
        <w:tab/>
        <w:t>The QSE’s portfolio average real power output for each clock minute will be measured and recorded. The correlation coefficient between the expected average power from one minute to the next [limited to no more than the initial value + (request ´ 1/2 ´ sated ramp rate)], and the actual measured real power output during those minutes shall be statistically significant to two positive standard deviations in order to pass the test.</w:t>
      </w:r>
    </w:p>
    <w:p>
      <w:pPr>
        <w:pStyle w:val="List"/>
        <w:tabs>
          <w:tab w:val="clear" w:pos="360"/>
        </w:tabs>
        <w:ind w:hanging="0" w:start="0" w:end="0"/>
        <w:rPr/>
      </w:pPr>
      <w:r>
        <w:rPr/>
        <w:t>(5)</w:t>
        <w:tab/>
        <w:t>On successful demonstration of all test criteria, ERCOT shall certify the QSE is capable of providing RGRS and shall provide a copy of the certificate to the QSE.</w:t>
      </w:r>
    </w:p>
    <w:p>
      <w:pPr>
        <w:pStyle w:val="Heading4"/>
        <w:numPr>
          <w:ilvl w:val="3"/>
          <w:numId w:val="18"/>
        </w:numPr>
        <w:ind w:hanging="0" w:start="0"/>
        <w:rPr/>
      </w:pPr>
      <w:r>
        <w:rPr/>
        <w:t xml:space="preserve">Responsive Reserve </w:t>
      </w:r>
    </w:p>
    <w:p>
      <w:pPr>
        <w:pStyle w:val="05textparagraph"/>
        <w:rPr/>
      </w:pPr>
      <w:r>
        <w:rPr/>
        <w:t>(1)</w:t>
        <w:tab/>
        <w:t>A test for RRS shall be performed during a continuous 8-hour window agreed on by the QSE and ERCOT.</w:t>
      </w:r>
    </w:p>
    <w:p>
      <w:pPr>
        <w:pStyle w:val="05textparagraph"/>
        <w:rPr/>
      </w:pPr>
      <w:r>
        <w:rPr/>
        <w:t>(2)</w:t>
        <w:tab/>
        <w:t>ERCOT shall confirm the date and time of the test with the QSE using both the primary and alternate voice circuits to validate the voice circuits.</w:t>
      </w:r>
    </w:p>
    <w:p>
      <w:pPr>
        <w:pStyle w:val="05textparagraph"/>
        <w:rPr/>
      </w:pPr>
      <w:r>
        <w:rPr/>
        <w:t>(3)</w:t>
        <w:tab/>
        <w:t xml:space="preserve">At any time during the window, selected by ERCOT when market and reliability conditions allow, and not previously disclosed to the QSE, ERCOT shall send a signal to the QSE requesting it to provide an amount of RRS. The QSE shall acknowledge the start of the test. </w:t>
      </w:r>
    </w:p>
    <w:p>
      <w:pPr>
        <w:pStyle w:val="05textparagraph"/>
        <w:rPr/>
      </w:pPr>
      <w:r>
        <w:rPr/>
        <w:t>(4)</w:t>
        <w:tab/>
        <w:t>For the 30-minute duration of the test, the QSE output shall be measured as clock-minute average outputs for (a) the clock minute prior to the instructions being received from ERCOT; (b) the clock minute following receipt of instructions from ERCOT and continuing for 10 minutes; (c) and for each of the subsequent 19 clock minutes. All measurements shall confirm the additional delivery of energy due to the deployment of responsive reserve service within 5% of the amount requested by ERCOT. Satisfactory performance shall be deemed acceptable if 90% of each clock-minute measurement 10 minutes after notice through the balance of the test period is within 5% of expected.</w:t>
      </w:r>
    </w:p>
    <w:p>
      <w:pPr>
        <w:pStyle w:val="List"/>
        <w:tabs>
          <w:tab w:val="clear" w:pos="360"/>
        </w:tabs>
        <w:ind w:hanging="0" w:start="0" w:end="0"/>
        <w:rPr/>
      </w:pPr>
      <w:r>
        <w:rPr/>
        <w:t>(5)</w:t>
        <w:tab/>
        <w:t>On successful demonstration of all test criteria, ERCOT shall certify that the QSE is capable of providing RRS and shall provide a copy of the certificate to the QSE.</w:t>
      </w:r>
    </w:p>
    <w:p>
      <w:pPr>
        <w:pStyle w:val="Heading4"/>
        <w:numPr>
          <w:ilvl w:val="3"/>
          <w:numId w:val="18"/>
        </w:numPr>
        <w:ind w:hanging="0" w:start="0"/>
        <w:rPr/>
      </w:pPr>
      <w:r>
        <w:rPr/>
        <w:t xml:space="preserve">Non-Spinning Reserve </w:t>
      </w:r>
    </w:p>
    <w:p>
      <w:pPr>
        <w:pStyle w:val="05textparagraph"/>
        <w:rPr/>
      </w:pPr>
      <w:r>
        <w:rPr/>
        <w:t>(1)</w:t>
        <w:tab/>
        <w:t>A test for Non-Spinning Reserve serve shall be performed during a continuous 8-hour window agreed on by the QSE and ERCOT.</w:t>
      </w:r>
    </w:p>
    <w:p>
      <w:pPr>
        <w:pStyle w:val="05textparagraph"/>
        <w:rPr/>
      </w:pPr>
      <w:r>
        <w:rPr/>
        <w:t>(2)</w:t>
        <w:tab/>
        <w:t>ERCOT shall confirm the date and time of the test with the QSE using both the primary and alternate voice circuits to validate the voice circuits.</w:t>
      </w:r>
    </w:p>
    <w:p>
      <w:pPr>
        <w:pStyle w:val="05textparagraph"/>
        <w:rPr/>
      </w:pPr>
      <w:r>
        <w:rPr/>
        <w:t>(3)</w:t>
        <w:tab/>
        <w:t>At any time during the window, selected by ERCOT when market and reliability conditions allow and not previously disclosed to the QSE, ERCOT shall notify the QSE using ERCOT’s messaging system requesting it to provide an amount of Non-Spinning Reserve the QSE wishes to be certified to. The QSE shall acknowledge the start of the test.</w:t>
      </w:r>
    </w:p>
    <w:p>
      <w:pPr>
        <w:pStyle w:val="05textparagraph"/>
        <w:rPr/>
      </w:pPr>
      <w:r>
        <w:rPr/>
        <w:t>(4)</w:t>
        <w:tab/>
        <w:t>For the 60-minute duration of the test, the QSE output shall be measured as clock-minute average outputs for (a) the clock minute prior to the instructions being received from ERCOT; (b) the clock minute following receipt of instructions from ERCOT and continuing for 30 minutes; (c) and for each of the subsequent 29 clock minutes. All measurements shall confirm the additional delivery of energy due to the deployment of Non-Spinning Reserve service within 5% of the amount requested by ERCOT.</w:t>
      </w:r>
    </w:p>
    <w:p>
      <w:pPr>
        <w:pStyle w:val="List"/>
        <w:ind w:hanging="0" w:start="0" w:end="0"/>
        <w:rPr>
          <w:sz w:val="22"/>
        </w:rPr>
      </w:pPr>
      <w:r>
        <w:rPr/>
        <w:t>(5)</w:t>
        <w:tab/>
        <w:t>On successful demonstration of all test criteria, ERCOT shall certify the QSE is capable of providing Non-Spinning Reserve and shall provide a copy of the certificate to the QSE.</w:t>
      </w:r>
    </w:p>
    <w:p>
      <w:pPr>
        <w:pStyle w:val="Heading4"/>
        <w:numPr>
          <w:ilvl w:val="3"/>
          <w:numId w:val="18"/>
        </w:numPr>
        <w:ind w:hanging="0" w:start="0"/>
        <w:rPr/>
      </w:pPr>
      <w:r>
        <w:rPr/>
        <w:t>Balancing Energy</w:t>
      </w:r>
    </w:p>
    <w:p>
      <w:pPr>
        <w:pStyle w:val="05textparagraph"/>
        <w:rPr/>
      </w:pPr>
      <w:r>
        <w:rPr/>
        <w:t>(1)</w:t>
        <w:tab/>
        <w:t>A test for Balancing Energy Service shall be performed during a continuous 8-hour window agreed on by the QSE and ERCOT.</w:t>
      </w:r>
    </w:p>
    <w:p>
      <w:pPr>
        <w:pStyle w:val="05textparagraph"/>
        <w:rPr/>
      </w:pPr>
      <w:r>
        <w:rPr/>
        <w:t>(2)</w:t>
        <w:tab/>
        <w:t>ERCOT shall confirm the date and time of the test with the QSE using both the primary and alternate voice circuits to validate the voice circuits.</w:t>
      </w:r>
    </w:p>
    <w:p>
      <w:pPr>
        <w:pStyle w:val="05textparagraph"/>
        <w:rPr/>
      </w:pPr>
      <w:r>
        <w:rPr/>
        <w:t>(3)</w:t>
        <w:tab/>
        <w:t>At any time during the window, selected by ERCOT when market and reliability conditions allow and not previously disclosed to the QSE, ERCOT shall notify the QSE using ERCOT’s messaging system requesting it to provide an amount of Balancing Energy. The QSE shall acknowledge the start of the test. During the 60-minute duration of the test, within the limits of requested certification, ERCOT will vary the requested amount of Balancing Energy requested.</w:t>
      </w:r>
    </w:p>
    <w:p>
      <w:pPr>
        <w:pStyle w:val="05textparagraph"/>
        <w:rPr/>
      </w:pPr>
      <w:r>
        <w:rPr/>
        <w:t>(4)</w:t>
        <w:tab/>
        <w:t>On successful demonstration of all test criteria, ERCOT shall certify the QSE is capable of providing Balancing Energy and shall provide a copy of the certificate to the QSE.</w:t>
      </w:r>
    </w:p>
    <w:p>
      <w:pPr>
        <w:pStyle w:val="Heading4"/>
        <w:numPr>
          <w:ilvl w:val="3"/>
          <w:numId w:val="18"/>
        </w:numPr>
        <w:ind w:hanging="0" w:start="0"/>
        <w:rPr/>
      </w:pPr>
      <w:r>
        <w:rPr/>
        <w:t>Reactive Supply from Generation Resources</w:t>
      </w:r>
    </w:p>
    <w:p>
      <w:pPr>
        <w:pStyle w:val="05textparagraph"/>
        <w:rPr/>
      </w:pPr>
      <w:r>
        <w:rPr/>
        <w:t>(1)</w:t>
        <w:tab/>
        <w:t>The QSE must verify and maintain its stated reactive capacity, as required by the NERC Planning Standards “System Modeling Data Requirements, Generation Equipment.” Sections 2.B, Measurement 3 and as may be required by the ERCOT Operating Guides. Generating units' reactive capability limits shall be specified considering nominal substation voltage.</w:t>
      </w:r>
    </w:p>
    <w:p>
      <w:pPr>
        <w:pStyle w:val="05textparagraph"/>
        <w:rPr/>
      </w:pPr>
      <w:r>
        <w:rPr/>
        <w:t>(2)</w:t>
        <w:tab/>
        <w:t xml:space="preserve">The QSE will conduct a reactive capacity certification test to verify the QSE maximum leading and lagging reactive capacity. Reactive capacity tests will be performed on initial certification and periodically at an ERCOT-set interval no more often than once every two years, unless ERCOT has information indicating that current data is inaccurate. The QSE is not obligated to place generating units on line solely for testing. </w:t>
      </w:r>
    </w:p>
    <w:p>
      <w:pPr>
        <w:pStyle w:val="05textparagraph"/>
        <w:rPr/>
      </w:pPr>
      <w:r>
        <w:rPr/>
        <w:t>(3)</w:t>
        <w:tab/>
        <w:t xml:space="preserve">Maximum lagging power factor reactive operating limit  shall be demonstrated during peak load season, at the net dependable megawatt capability, insofar as system voltage conditions and other factors will allow. The generating unit should be required to maintain this level of reactive power for at least 15 minutes. </w:t>
      </w:r>
    </w:p>
    <w:p>
      <w:pPr>
        <w:pStyle w:val="05textparagraph"/>
        <w:rPr/>
      </w:pPr>
      <w:r>
        <w:rPr/>
        <w:t>(4)</w:t>
        <w:tab/>
        <w:t>Maximum leading power factor reactive operating limit shall be demonstrated during light load conditions, with the unit operating at its minimum load, insofar as system voltage conditions and other factors will allow. The unit should be required to maintain this level of reactive for at least 15 minutes.</w:t>
      </w:r>
    </w:p>
    <w:p>
      <w:pPr>
        <w:pStyle w:val="05textparagraph"/>
        <w:rPr/>
      </w:pPr>
      <w:r>
        <w:rPr/>
        <w:t>(5)</w:t>
        <w:tab/>
        <w:t>The QSE shall perform the unit automatic voltage regulator (AVR) tests and shall supply AVR data as required by the NERC Planning Standards “System Modeling Data Requirements, Generation Equipment.” Sections 2B, Measurement 4, and 2B, Measurement 6 and as may be specified in the ERCOT Operating Guides. The AVR tests will be performed on initial certification and periodically at an ERCOT-set interval no more often than once every five years. The AVR tests are run at a time agreed on in advance by the QSE, TDSP, and ERCOT.</w:t>
      </w:r>
    </w:p>
    <w:p>
      <w:pPr>
        <w:pStyle w:val="Heading4"/>
        <w:numPr>
          <w:ilvl w:val="3"/>
          <w:numId w:val="18"/>
        </w:numPr>
        <w:ind w:hanging="0" w:start="0"/>
        <w:rPr/>
      </w:pPr>
      <w:r>
        <w:rPr/>
        <w:t>System Black Start Capability</w:t>
      </w:r>
    </w:p>
    <w:p>
      <w:pPr>
        <w:pStyle w:val="05textparagraph"/>
        <w:rPr/>
      </w:pPr>
      <w:r>
        <w:rPr/>
        <w:t>(1)</w:t>
        <w:tab/>
        <w:t>Certification will be provided to any Black Start Unit that has met the following requirements:</w:t>
      </w:r>
    </w:p>
    <w:p>
      <w:pPr>
        <w:pStyle w:val="16listlevel1"/>
        <w:numPr>
          <w:ilvl w:val="0"/>
          <w:numId w:val="16"/>
        </w:numPr>
        <w:rPr/>
      </w:pPr>
      <w:r>
        <w:rPr/>
        <w:t>Verified control communication path performance;</w:t>
      </w:r>
    </w:p>
    <w:p>
      <w:pPr>
        <w:pStyle w:val="16listlevel1"/>
        <w:numPr>
          <w:ilvl w:val="0"/>
          <w:numId w:val="16"/>
        </w:numPr>
        <w:rPr/>
      </w:pPr>
      <w:r>
        <w:rPr/>
        <w:t>Verified primary and alternate voice circuits for receipt of instructions; and</w:t>
      </w:r>
    </w:p>
    <w:p>
      <w:pPr>
        <w:pStyle w:val="16listlevel1"/>
        <w:numPr>
          <w:ilvl w:val="0"/>
          <w:numId w:val="16"/>
        </w:numPr>
        <w:rPr/>
      </w:pPr>
      <w:r>
        <w:rPr/>
        <w:t>Passed the basic starting test;</w:t>
      </w:r>
    </w:p>
    <w:p>
      <w:pPr>
        <w:pStyle w:val="16listlevel1"/>
        <w:numPr>
          <w:ilvl w:val="0"/>
          <w:numId w:val="16"/>
        </w:numPr>
        <w:rPr/>
      </w:pPr>
      <w:r>
        <w:rPr/>
        <w:t>Passed the line energizing test;</w:t>
      </w:r>
    </w:p>
    <w:p>
      <w:pPr>
        <w:pStyle w:val="16listlevel1"/>
        <w:numPr>
          <w:ilvl w:val="0"/>
          <w:numId w:val="16"/>
        </w:numPr>
        <w:rPr/>
      </w:pPr>
      <w:r>
        <w:rPr/>
        <w:t>Passed the load carrying test.</w:t>
      </w:r>
    </w:p>
    <w:p>
      <w:pPr>
        <w:pStyle w:val="05textparagraph"/>
        <w:rPr/>
      </w:pPr>
      <w:r>
        <w:rPr/>
        <w:t>(2)</w:t>
        <w:tab/>
        <w:t>On successful demonstration of system Black Start Service capability, ERCOT shall certify the Black Start Unit as being permitted to provide the system Black Start Service capacity and shall provide a copy of the certificate to the  Black Start Unit. Certification shall be valid for one year from the date of the last successful Basic Starting test, three years from the date of the last successful line energizing test, or six years from the date of the last successful load carrying test, whichever is earliest. Certification shall be revoked if the Black Start Unit fails to perform successfully during an actual restoration event, until the Black Start Unit is successfully retested. Retesting is only required for the aspect of System Black Start Service capability (basic starting, line energizing, or load carrying) for which the Black Start Unit failed.</w:t>
      </w:r>
    </w:p>
    <w:p>
      <w:pPr>
        <w:pStyle w:val="16listlevel1"/>
        <w:numPr>
          <w:ilvl w:val="1"/>
          <w:numId w:val="15"/>
        </w:numPr>
        <w:rPr/>
      </w:pPr>
      <w:r>
        <w:rPr/>
        <w:t>Basic Starting Test</w:t>
      </w:r>
    </w:p>
    <w:p>
      <w:pPr>
        <w:pStyle w:val="16listlevel1"/>
        <w:numPr>
          <w:ilvl w:val="2"/>
          <w:numId w:val="15"/>
        </w:numPr>
        <w:rPr/>
      </w:pPr>
      <w:r>
        <w:rPr/>
        <w:t xml:space="preserve">The basic ability of the Black Start Unit to start itself, without support from the ERCOT System, is tested at least once every three years. The test is run during a one-week period agreed on in advance by the Black Start Unit and ERCOT. </w:t>
      </w:r>
    </w:p>
    <w:p>
      <w:pPr>
        <w:pStyle w:val="16listlevel1"/>
        <w:numPr>
          <w:ilvl w:val="2"/>
          <w:numId w:val="15"/>
        </w:numPr>
        <w:rPr/>
      </w:pPr>
      <w:r>
        <w:rPr/>
        <w:t>ERCOT shall confirm the dates of the test with the Black Start Unit;</w:t>
      </w:r>
    </w:p>
    <w:p>
      <w:pPr>
        <w:pStyle w:val="16listlevel1"/>
        <w:numPr>
          <w:ilvl w:val="2"/>
          <w:numId w:val="15"/>
        </w:numPr>
        <w:rPr/>
      </w:pPr>
      <w:r>
        <w:rPr/>
        <w:t>At a time during a previously agreed test week window not previously disclosed to the Black Start Unit, ERCOT will initiate the test;</w:t>
      </w:r>
    </w:p>
    <w:p>
      <w:pPr>
        <w:pStyle w:val="16listlevel1"/>
        <w:numPr>
          <w:ilvl w:val="2"/>
          <w:numId w:val="15"/>
        </w:numPr>
        <w:rPr/>
      </w:pPr>
      <w:r>
        <w:rPr/>
        <w:t>The Black Start Unit, including all auxiliary loads, will be ERCOTlated from the power system;</w:t>
      </w:r>
    </w:p>
    <w:p>
      <w:pPr>
        <w:pStyle w:val="16listlevel1"/>
        <w:numPr>
          <w:ilvl w:val="2"/>
          <w:numId w:val="15"/>
        </w:numPr>
        <w:rPr/>
      </w:pPr>
      <w:r>
        <w:rPr/>
        <w:t>The Black Start Unit will start without assistance from the system; and</w:t>
      </w:r>
    </w:p>
    <w:p>
      <w:pPr>
        <w:pStyle w:val="16listlevel1"/>
        <w:numPr>
          <w:ilvl w:val="2"/>
          <w:numId w:val="15"/>
        </w:numPr>
        <w:rPr/>
      </w:pPr>
      <w:r>
        <w:rPr/>
        <w:t>The Black Start Unit must remain stable (in both frequency and voltage) while supplying only its own auxiliary loads or loads in the immediate area for at least 30 minutes.</w:t>
      </w:r>
    </w:p>
    <w:p>
      <w:pPr>
        <w:pStyle w:val="16listlevel1"/>
        <w:numPr>
          <w:ilvl w:val="1"/>
          <w:numId w:val="15"/>
        </w:numPr>
        <w:rPr/>
      </w:pPr>
      <w:r>
        <w:rPr/>
        <w:t>Line Energizing Test</w:t>
      </w:r>
    </w:p>
    <w:p>
      <w:pPr>
        <w:pStyle w:val="16listlevel1"/>
        <w:numPr>
          <w:ilvl w:val="2"/>
          <w:numId w:val="15"/>
        </w:numPr>
        <w:rPr/>
      </w:pPr>
      <w:r>
        <w:rPr/>
        <w:t>The ability of the Black Start Unit to energize transmission will be tested when conditions permit as determined by the TDSP but at least once every three years. Tests will be conducted at a time agreed on by the Black Start Unit, TDSP, and ERCOT.</w:t>
      </w:r>
    </w:p>
    <w:p>
      <w:pPr>
        <w:pStyle w:val="16listlevel1"/>
        <w:numPr>
          <w:ilvl w:val="2"/>
          <w:numId w:val="15"/>
        </w:numPr>
        <w:rPr/>
      </w:pPr>
      <w:r>
        <w:rPr/>
        <w:t>Sufficient transmission will be de-energized such that when it is energized by the Black Start Unit it demonstrates the Black Start Unit’s ability to energize enough transmission to deliver the output to load called for by ERCOT’s restoration plan. ERCOT shall be responsible for transmission connections and operations that are compatible with the capabilities of the Black Start Unit.</w:t>
      </w:r>
    </w:p>
    <w:p>
      <w:pPr>
        <w:pStyle w:val="16listlevel1"/>
        <w:numPr>
          <w:ilvl w:val="1"/>
          <w:numId w:val="15"/>
        </w:numPr>
        <w:rPr/>
      </w:pPr>
      <w:r>
        <w:rPr/>
        <w:t>Basic Starting Test</w:t>
      </w:r>
    </w:p>
    <w:p>
      <w:pPr>
        <w:pStyle w:val="16listlevel1"/>
        <w:numPr>
          <w:ilvl w:val="2"/>
          <w:numId w:val="15"/>
        </w:numPr>
        <w:rPr/>
      </w:pPr>
      <w:r>
        <w:rPr/>
        <w:t xml:space="preserve">ERCOT will direct the Black Start Unit to energize the previously de-energized transmission, while monitoring frequency and voltages at both ends of the line. Alternatively, if ERCOT agrees, the transmission line can be connected to the Black Start Unit before starting, allowing the resource to energize the line as it comes up to speed. </w:t>
      </w:r>
    </w:p>
    <w:p>
      <w:pPr>
        <w:pStyle w:val="16listlevel1"/>
        <w:numPr>
          <w:ilvl w:val="2"/>
          <w:numId w:val="15"/>
        </w:numPr>
        <w:rPr/>
      </w:pPr>
      <w:r>
        <w:rPr/>
        <w:t>The Black Start Unit must remain stable (in both frequency and voltage) while supplying only its own auxiliary loads or external loads and controlling voltage at the remote end of the transmission line for at least 30 minutes.</w:t>
      </w:r>
    </w:p>
    <w:p>
      <w:pPr>
        <w:pStyle w:val="16listlevel1"/>
        <w:numPr>
          <w:ilvl w:val="1"/>
          <w:numId w:val="15"/>
        </w:numPr>
        <w:rPr/>
      </w:pPr>
      <w:r>
        <w:rPr/>
        <w:t xml:space="preserve">Load Carrying Test. </w:t>
      </w:r>
    </w:p>
    <w:p>
      <w:pPr>
        <w:pStyle w:val="16listlevel1"/>
        <w:numPr>
          <w:ilvl w:val="2"/>
          <w:numId w:val="15"/>
        </w:numPr>
        <w:rPr/>
      </w:pPr>
      <w:r>
        <w:rPr/>
        <w:t>The ability of the Black Start Unit to remain stable and to control voltage and frequency while supplying restoration power to the load that ERCOT’s restoration plan calls for the Black Start Unit to supply shall be tested as conditions permit, but at least once every six years. ERCOT may authorize the Black Start Unit to provide computer simulation studies in lieu of performing a test with loads not available for interruption.</w:t>
      </w:r>
    </w:p>
    <w:p>
      <w:pPr>
        <w:pStyle w:val="16listlevel1"/>
        <w:numPr>
          <w:ilvl w:val="2"/>
          <w:numId w:val="15"/>
        </w:numPr>
        <w:rPr/>
      </w:pPr>
      <w:r>
        <w:rPr/>
        <w:t>Conduct a basic starting test.</w:t>
      </w:r>
    </w:p>
    <w:p>
      <w:pPr>
        <w:pStyle w:val="16listlevel1"/>
        <w:numPr>
          <w:ilvl w:val="2"/>
          <w:numId w:val="15"/>
        </w:numPr>
        <w:rPr/>
      </w:pPr>
      <w:r>
        <w:rPr/>
        <w:t>Conduct a line energizing test.</w:t>
      </w:r>
    </w:p>
    <w:p>
      <w:pPr>
        <w:pStyle w:val="16listlevel1"/>
        <w:numPr>
          <w:ilvl w:val="2"/>
          <w:numId w:val="15"/>
        </w:numPr>
        <w:rPr/>
      </w:pPr>
      <w:r>
        <w:rPr/>
        <w:t>The TDSP operator will direct picking up sufficient load at the remote end of ERCOTlated transmission system to demonstrate the Black Start Unit’s capability to supply the required load identified in ERCOT’s restoration plan, while maintaining voltage and frequency for at least 30 minutes.</w:t>
      </w:r>
    </w:p>
    <w:p>
      <w:pPr>
        <w:pStyle w:val="Heading3"/>
        <w:numPr>
          <w:ilvl w:val="2"/>
          <w:numId w:val="18"/>
        </w:numPr>
        <w:ind w:hanging="0" w:start="0"/>
        <w:rPr/>
      </w:pPr>
      <w:r>
        <w:rPr/>
        <w:t>Ancillary Service Deployment Performance Measures</w:t>
      </w:r>
    </w:p>
    <w:p>
      <w:pPr>
        <w:pStyle w:val="05textparagraph"/>
        <w:rPr/>
      </w:pPr>
      <w:r>
        <w:rPr/>
        <w:t>ERCOT shall measure the performance of QSEs providing Ancillary Services according to the following requirements. ERCOT shall identify those QSEs that continually perform at a less-than-satisfactory level and shall pursue compliance mechanisms as specified in the NERC Reliability Compliance Program and as may be further specified in the ERCOT Operating Guides.</w:t>
      </w:r>
    </w:p>
    <w:p>
      <w:pPr>
        <w:pStyle w:val="Heading4"/>
        <w:numPr>
          <w:ilvl w:val="3"/>
          <w:numId w:val="18"/>
        </w:numPr>
        <w:ind w:hanging="0" w:start="0"/>
        <w:rPr/>
      </w:pPr>
      <w:r>
        <w:rPr/>
        <w:t>Performance Measurement Standard</w:t>
      </w:r>
    </w:p>
    <w:p>
      <w:pPr>
        <w:pStyle w:val="05textparagraph"/>
        <w:rPr/>
      </w:pPr>
      <w:r>
        <w:rPr/>
        <w:t>The expected amount of energy resulting from the deployment instructions of ERCOT is represented as a real power schedule of instructed Ancillary Services from the QSE. This schedule, subject to the agreed-on QSE capabilities, is the requested Ancillary Service output of the QSE resources. Considering that the QSE may be operating a portfolio and has scheduled a base energy quantity for each Settlement Interval, the total QSE schedule is the amount of power from the base resource schedule plus the instructed Ancillary Services. The performance of a QSE can be measured by the difference between the actual and expected (requested) resource output of the QSE. The ERCOT Ancillary Services that result in the deployment of real power applies in the measurement of Real Time provision of the reliability product are (1) Regulation Service, (2) Responsive Reserve Service, (3) Non-Spinning Reserve Service, and (4) Balancing Energy Service. These services combined form ERCOT Reliability Ancillary Services.</w:t>
      </w:r>
    </w:p>
    <w:p>
      <w:pPr>
        <w:pStyle w:val="05textparagraph"/>
        <w:rPr/>
      </w:pPr>
      <w:r>
        <w:rPr/>
        <w:t>Performance measures for the remaining Ancillary Services, Replacement Reserves, Reactive Power Supply from Generation and System Black Start are treated separately.</w:t>
      </w:r>
    </w:p>
    <w:p>
      <w:pPr>
        <w:pStyle w:val="Heading4"/>
        <w:numPr>
          <w:ilvl w:val="3"/>
          <w:numId w:val="18"/>
        </w:numPr>
        <w:ind w:hanging="0" w:start="0"/>
        <w:rPr/>
      </w:pPr>
      <w:r>
        <w:rPr/>
        <w:t>Base Power Schedule Calculation.</w:t>
      </w:r>
    </w:p>
    <w:p>
      <w:pPr>
        <w:pStyle w:val="05textparagraph"/>
        <w:rPr/>
      </w:pPr>
      <w:r>
        <w:rPr/>
        <w:t>For performance measurement purposes, ERCOT shall calculate for each QSE every 2 seconds the expected power resulting from the QSE’s resource schedule less any QSE resource trades. The expected power function will be calculated such that when integrated over the settlement period, the power function will equal the energy scheduled in the same interval. The method used will be based on a quadratic spline routine that develops the coefficients such that the curve passes through the average of the change in energy in each interval.</w:t>
      </w:r>
    </w:p>
    <w:p>
      <w:pPr>
        <w:pStyle w:val="Heading4"/>
        <w:numPr>
          <w:ilvl w:val="3"/>
          <w:numId w:val="18"/>
        </w:numPr>
        <w:ind w:hanging="0" w:start="0"/>
        <w:rPr/>
      </w:pPr>
      <w:r>
        <w:rPr/>
        <w:t>Schedule Control Error</w:t>
      </w:r>
    </w:p>
    <w:p>
      <w:pPr>
        <w:pStyle w:val="05textparagraph"/>
        <w:rPr/>
      </w:pPr>
      <w:r>
        <w:rPr/>
        <w:t>ERCOT will calculate the following for each QSE for each 2 second period:</w:t>
      </w:r>
    </w:p>
    <w:p>
      <w:pPr>
        <w:pStyle w:val="BodyTextIndent"/>
        <w:tabs>
          <w:tab w:val="clear" w:pos="720"/>
          <w:tab w:val="left" w:pos="1440" w:leader="none"/>
        </w:tabs>
        <w:rPr>
          <w:rFonts w:ascii="Tms Rmn" w:hAnsi="Tms Rmn" w:cs="Tms Rmn"/>
        </w:rPr>
      </w:pPr>
      <w:r>
        <w:rPr>
          <w:rFonts w:cs="Tms Rmn" w:ascii="Tms Rmn" w:hAnsi="Tms Rmn"/>
          <w:rPrChange w:id="0" w:author="Unknown" w:date="0-00-00T00:00:00Z"/>
        </w:rPr>
        <w:rPrChange w:id="0" w:author="Unknown" w:date="0-00-00T00:00:00Z"/>
      </w:r>
    </w:p>
    <w:p>
      <w:pPr>
        <w:pStyle w:val="Normal"/>
        <w:ind w:start="720" w:end="0"/>
        <w:rPr/>
      </w:pPr>
      <w:r>
        <w:rPr>
          <w:rFonts w:cs="Tms Rmn" w:ascii="Tms Rmn" w:hAnsi="Tms Rmn"/>
        </w:rPr>
        <w:t>SCE</w:t>
        <w:tab/>
        <w:t>=</w:t>
        <w:tab/>
        <w:t xml:space="preserve"> Actual Generation</w:t>
      </w:r>
      <w:r>
        <w:rPr/>
        <w:t xml:space="preserve"> - </w:t>
      </w:r>
      <w:r>
        <w:rPr>
          <w:rFonts w:cs="Tms Rmn" w:ascii="Tms Rmn" w:hAnsi="Tms Rmn"/>
        </w:rPr>
        <w:t xml:space="preserve">actual load used as a resource </w:t>
      </w:r>
    </w:p>
    <w:p>
      <w:pPr>
        <w:pStyle w:val="Normal"/>
        <w:numPr>
          <w:ilvl w:val="0"/>
          <w:numId w:val="28"/>
        </w:numPr>
        <w:rPr>
          <w:rFonts w:ascii="Tms Rmn" w:hAnsi="Tms Rmn" w:cs="Tms Rmn"/>
        </w:rPr>
      </w:pPr>
      <w:r>
        <w:rPr>
          <w:rFonts w:cs="Tms Rmn" w:ascii="Tms Rmn" w:hAnsi="Tms Rmn"/>
        </w:rPr>
        <w:t xml:space="preserve">Base Power Schedule </w:t>
      </w:r>
    </w:p>
    <w:p>
      <w:pPr>
        <w:pStyle w:val="Normal"/>
        <w:numPr>
          <w:ilvl w:val="0"/>
          <w:numId w:val="8"/>
        </w:numPr>
        <w:rPr>
          <w:rFonts w:ascii="Tms Rmn" w:hAnsi="Tms Rmn" w:cs="Tms Rmn"/>
        </w:rPr>
      </w:pPr>
      <w:r>
        <w:rPr>
          <w:rFonts w:cs="Tms Rmn" w:ascii="Tms Rmn" w:hAnsi="Tms Rmn"/>
        </w:rPr>
        <w:t xml:space="preserve">Sum of any Dynamic Resource Power Schedules </w:t>
      </w:r>
    </w:p>
    <w:p>
      <w:pPr>
        <w:pStyle w:val="Normal"/>
        <w:numPr>
          <w:ilvl w:val="0"/>
          <w:numId w:val="8"/>
        </w:numPr>
        <w:rPr/>
      </w:pPr>
      <w:r>
        <w:rPr>
          <w:rFonts w:cs="Tms Rmn" w:ascii="Tms Rmn" w:hAnsi="Tms Rmn"/>
        </w:rPr>
        <w:t>Expected Governor Response due to frequency of the QSE’s portfolio of resources</w:t>
      </w:r>
    </w:p>
    <w:p>
      <w:pPr>
        <w:pStyle w:val="Normal"/>
        <w:numPr>
          <w:ilvl w:val="0"/>
          <w:numId w:val="8"/>
        </w:numPr>
        <w:rPr/>
      </w:pPr>
      <w:r>
        <w:rPr>
          <w:rFonts w:cs="Tms Rmn" w:ascii="Tms Rmn" w:hAnsi="Tms Rmn"/>
        </w:rPr>
        <w:t>Instructed Ancillary Services power</w:t>
      </w:r>
    </w:p>
    <w:p>
      <w:pPr>
        <w:pStyle w:val="BodyTextIndent"/>
        <w:tabs>
          <w:tab w:val="clear" w:pos="720"/>
          <w:tab w:val="left" w:pos="1440" w:leader="none"/>
        </w:tabs>
        <w:rPr/>
      </w:pPr>
      <w:r>
        <w:rPr>
          <w:rPrChange w:id="0" w:author="Unknown" w:date="0-00-00T00:00:00Z"/>
        </w:rPr>
        <w:rPrChange w:id="0" w:author="Unknown" w:date="0-00-00T00:00:00Z"/>
      </w:r>
    </w:p>
    <w:p>
      <w:pPr>
        <w:pStyle w:val="Normal"/>
        <w:ind w:start="720" w:end="0"/>
        <w:rPr/>
      </w:pPr>
      <w:r>
        <w:rPr/>
        <w:t xml:space="preserve">Instructed Ancillary Services </w:t>
        <w:tab/>
        <w:t>=</w:t>
        <w:tab/>
        <w:t>Instructed (Regulation Service</w:t>
      </w:r>
    </w:p>
    <w:p>
      <w:pPr>
        <w:pStyle w:val="Normal"/>
        <w:numPr>
          <w:ilvl w:val="0"/>
          <w:numId w:val="5"/>
        </w:numPr>
        <w:tabs>
          <w:tab w:val="clear" w:pos="720"/>
          <w:tab w:val="left" w:pos="4680" w:leader="none"/>
        </w:tabs>
        <w:rPr/>
      </w:pPr>
      <w:r>
        <w:rPr/>
        <w:t>Responsive Reserve</w:t>
      </w:r>
    </w:p>
    <w:p>
      <w:pPr>
        <w:pStyle w:val="Normal"/>
        <w:numPr>
          <w:ilvl w:val="0"/>
          <w:numId w:val="5"/>
        </w:numPr>
        <w:tabs>
          <w:tab w:val="clear" w:pos="720"/>
          <w:tab w:val="left" w:pos="4680" w:leader="none"/>
        </w:tabs>
        <w:rPr/>
      </w:pPr>
      <w:r>
        <w:rPr/>
        <w:t>Non-Spinning Reserve</w:t>
      </w:r>
    </w:p>
    <w:p>
      <w:pPr>
        <w:pStyle w:val="Normal"/>
        <w:numPr>
          <w:ilvl w:val="0"/>
          <w:numId w:val="5"/>
        </w:numPr>
        <w:tabs>
          <w:tab w:val="clear" w:pos="720"/>
          <w:tab w:val="left" w:pos="4680" w:leader="none"/>
        </w:tabs>
        <w:rPr/>
      </w:pPr>
      <w:r>
        <w:rPr/>
        <w:t>Balancing)</w:t>
      </w:r>
    </w:p>
    <w:p>
      <w:pPr>
        <w:pStyle w:val="06notes"/>
        <w:rPr/>
      </w:pPr>
      <w:r>
        <w:rPr/>
        <w:t>Note: This is the same as Generator Schedule Error (GSE) but is suggested to be changed to recognize that Loads, acting as resources must be part of this calculation.</w:t>
      </w:r>
    </w:p>
    <w:p>
      <w:pPr>
        <w:pStyle w:val="Heading3"/>
        <w:numPr>
          <w:ilvl w:val="2"/>
          <w:numId w:val="18"/>
        </w:numPr>
        <w:ind w:hanging="0" w:start="0"/>
        <w:rPr/>
      </w:pPr>
      <w:r>
        <w:rPr/>
        <w:t>QSE Real Power Performance Criteria</w:t>
      </w:r>
    </w:p>
    <w:p>
      <w:pPr>
        <w:pStyle w:val="05textparagraph"/>
        <w:rPr/>
      </w:pPr>
      <w:r>
        <w:rPr>
          <w:b/>
        </w:rPr>
        <w:t>Base Power Schedule Monitoring Criteria.</w:t>
      </w:r>
      <w:r>
        <w:rPr/>
        <w:t xml:space="preserve"> QSEs that are not providing any Ancillary Services in any of the current Operating Day’s markets shall make a good faith effort to cause their resources to operate to the final resource bilateral schedules as converted to a base power function according to the method specified in Section 6.4.4.2.</w:t>
      </w:r>
    </w:p>
    <w:p>
      <w:pPr>
        <w:pStyle w:val="05textparagraph"/>
        <w:rPr>
          <w:u w:val="single"/>
        </w:rPr>
      </w:pPr>
      <w:r>
        <w:rPr>
          <w:b/>
        </w:rPr>
        <w:t>Balancing Energy Monitoring Criteria</w:t>
      </w:r>
      <w:r>
        <w:rPr/>
        <w:t>. QSEs providing only Balancing Energy Services shall declare this intent to ERCOT in the Scheduling process. On deployment of Balancing Energy, the QSE shall control its resources to operate to the final resource bilateral schedules as converted to a base power function plus the equivalent power requirement of the Balancing Energy Dispatch Instruction. ERCOT calculation of SCE for each 2 seconds and integrated over the Settlement Interval will indicate the average performance of the QSE to supply Balancing Energy. Satisfactory control performance of the QSE providing only Balancing Energy services shall be deemed acceptable when 90% of the Settlement Intervals result in an average error of less than 5% of the average awarded bid in each Settlement Interval.</w:t>
      </w:r>
    </w:p>
    <w:p>
      <w:pPr>
        <w:pStyle w:val="05textparagraph"/>
        <w:rPr/>
      </w:pPr>
      <w:r>
        <w:rPr>
          <w:b/>
        </w:rPr>
        <w:t>Regulation Services Monitoring Criteria</w:t>
      </w:r>
      <w:r>
        <w:rPr/>
        <w:t>. QSEs providing regulation services shall declare this intent to ERCOT in the Scheduling process. On deployment of any regulation service, the QSE shall control its resources to operate to the final resource bilateral schedules as converted to a base power function plus the Instructed Regulation power requirement. ERCOT shall calculate 1-minute and 10-minute averages of each QSE’s SCE. ERCOT shall also calculate each QSE’s participation factor as the ratio of the QSE’s awarded regulation service Capacity to the response rate necessary to correct 99% of the regulation obligation (i.e., the response rate necessary to assign all of the ERCOT control area’s ACE). Satisfactory control performance of the QSE providing only regulation services shall be deemed acceptable when:</w:t>
      </w:r>
    </w:p>
    <w:p>
      <w:pPr>
        <w:pStyle w:val="BodyText"/>
        <w:ind w:start="720" w:end="0"/>
        <w:rPr>
          <w:i w:val="false"/>
          <w:i w:val="false"/>
          <w:u w:val="single"/>
        </w:rPr>
      </w:pPr>
      <w:r>
        <w:rPr>
          <w:i w:val="false"/>
          <w:u w:val="single"/>
          <w:rPrChange w:id="0" w:author="Unknown" w:date="0-00-00T00:00:00Z"/>
        </w:rPr>
        <w:rPrChange w:id="0" w:author="Unknown" w:date="0-00-00T00:00:00Z"/>
      </w:r>
    </w:p>
    <w:p>
      <w:pPr>
        <w:pStyle w:val="05textparagraph"/>
        <w:rPr/>
      </w:pPr>
      <w:r/>
      <m:oMath xmlns:m="http://schemas.openxmlformats.org/officeDocument/2006/math">
        <m:r>
          <m:rPr>
            <m:lit/>
            <m:nor/>
          </m:rPr>
          <m:t xml:space="preserve">AVG</m:t>
        </m:r>
        <m:r>
          <m:t xml:space="preserve">(</m:t>
        </m:r>
        <m:r>
          <m:rPr>
            <m:lit/>
            <m:nor/>
          </m:rPr>
          <m:t xml:space="preserve">month</m:t>
        </m:r>
        <m:r>
          <m:t xml:space="preserve">)</m:t>
        </m:r>
        <m:d>
          <m:dPr>
            <m:begChr m:val="["/>
            <m:endChr m:val="]"/>
          </m:dPr>
          <m:e>
            <m:d>
              <m:dPr>
                <m:begChr m:val="("/>
                <m:endChr m:val=")"/>
              </m:dPr>
              <m:e>
                <m:f>
                  <m:num>
                    <m:sSub>
                      <m:e>
                        <m:r>
                          <m:rPr>
                            <m:lit/>
                            <m:nor/>
                          </m:rPr>
                          <m:t xml:space="preserve">SCE</m:t>
                        </m:r>
                      </m:e>
                      <m:sub>
                        <m:r>
                          <m:t xml:space="preserve">1</m:t>
                        </m:r>
                      </m:sub>
                    </m:sSub>
                  </m:num>
                  <m:den>
                    <m:r>
                      <m:rPr>
                        <m:lit/>
                        <m:nor/>
                      </m:rPr>
                      <m:t xml:space="preserve">ParticipationFactor</m:t>
                    </m:r>
                  </m:den>
                </m:f>
              </m:e>
            </m:d>
            <m:r>
              <m:t xml:space="preserve">∗</m:t>
            </m:r>
            <m:d>
              <m:dPr>
                <m:begChr m:val="("/>
                <m:endChr m:val=")"/>
              </m:dPr>
              <m:e>
                <m:f>
                  <m:num>
                    <m:sSub>
                      <m:e>
                        <m:r>
                          <m:t xml:space="preserve">ΔF</m:t>
                        </m:r>
                      </m:e>
                      <m:sub>
                        <m:r>
                          <m:t xml:space="preserve">1</m:t>
                        </m:r>
                      </m:sub>
                    </m:sSub>
                  </m:num>
                  <m:den>
                    <m:r>
                      <m:t xml:space="preserve">(</m:t>
                    </m:r>
                    <m:r>
                      <m:t xml:space="preserve">−</m:t>
                    </m:r>
                    <m:r>
                      <m:rPr>
                        <m:lit/>
                        <m:nor/>
                      </m:rPr>
                      <m:t xml:space="preserve">10</m:t>
                    </m:r>
                    <m:r>
                      <m:t xml:space="preserve">∗</m:t>
                    </m:r>
                    <m:r>
                      <m:rPr>
                        <m:lit/>
                        <m:nor/>
                      </m:rPr>
                      <m:t xml:space="preserve">Bias</m:t>
                    </m:r>
                    <m:r>
                      <m:t xml:space="preserve">)</m:t>
                    </m:r>
                    <m:r>
                      <m:t xml:space="preserve">∗</m:t>
                    </m:r>
                    <m:sSup>
                      <m:e>
                        <m:r>
                          <m:t xml:space="preserve">ε</m:t>
                        </m:r>
                      </m:e>
                      <m:sup>
                        <m:sSub>
                          <m:e>
                            <m:r>
                              <m:t xml:space="preserve">2</m:t>
                            </m:r>
                          </m:e>
                          <m:sub>
                            <m:r>
                              <m:t xml:space="preserve">1</m:t>
                            </m:r>
                          </m:sub>
                        </m:sSub>
                      </m:sup>
                    </m:sSup>
                  </m:den>
                </m:f>
              </m:e>
            </m:d>
          </m:e>
        </m:d>
        <m:r>
          <m:t xml:space="preserve">≤</m:t>
        </m:r>
        <m:r>
          <m:t xml:space="preserve">1</m:t>
        </m:r>
      </m:oMath>
      <w:r>
        <w:rPr/>
        <w:t>(1)</w:t>
        <w:tab/>
        <w:t>The 1-minute averages of the QSE’s SCE meet the following criteria over the calendar month:</w:t>
      </w:r>
    </w:p>
    <w:p>
      <w:pPr>
        <w:pStyle w:val="BodyText"/>
        <w:ind w:start="720" w:end="0"/>
        <w:rPr>
          <w:i w:val="false"/>
          <w:i w:val="false"/>
        </w:rPr>
      </w:pPr>
      <w:r>
        <w:rPr>
          <w:i w:val="false"/>
          <w:rPrChange w:id="0" w:author="Unknown" w:date="2000-07-01T16:34:00Z"/>
        </w:rPr>
        <w:rPrChange w:id="0" w:author="Unknown" w:date="2000-07-01T16:34:00Z"/>
      </w:r>
    </w:p>
    <w:p>
      <w:pPr>
        <w:pStyle w:val="BodyText"/>
        <w:ind w:start="720" w:end="0"/>
        <w:rPr>
          <w:i w:val="false"/>
          <w:i w:val="false"/>
        </w:rPr>
      </w:pPr>
      <w:r>
        <w:rPr>
          <w:i w:val="false"/>
          <w:rPrChange w:id="0" w:author="Unknown" w:date="0-00-00T00:00:00Z"/>
        </w:rPr>
        <w:rPrChange w:id="0" w:author="Unknown" w:date="0-00-00T00:00:00Z"/>
      </w:r>
    </w:p>
    <w:p>
      <w:pPr>
        <w:pStyle w:val="BodyText"/>
        <w:ind w:start="720" w:end="0"/>
        <w:rPr>
          <w:i w:val="false"/>
          <w:i w:val="false"/>
        </w:rPr>
      </w:pPr>
      <w:r>
        <w:rPr>
          <w:i w:val="false"/>
          <w:rPrChange w:id="0" w:author="Unknown" w:date="0-00-00T00:00:00Z"/>
        </w:rPr>
        <w:t>where:</w:t>
        <w:rPrChange w:id="0" w:author="Unknown" w:date="2000-07-01T16:34:00Z"/>
      </w:r>
    </w:p>
    <w:p>
      <w:pPr>
        <w:pStyle w:val="BodyText"/>
        <w:ind w:start="720" w:end="0"/>
        <w:rPr>
          <w:i w:val="false"/>
          <w:i w:val="false"/>
        </w:rPr>
      </w:pPr>
      <w:r>
        <w:rPr>
          <w:i w:val="false"/>
          <w:rPrChange w:id="0" w:author="Unknown" w:date="2000-07-01T16:34:00Z"/>
        </w:rPr>
      </w:r>
    </w:p>
    <w:p>
      <w:pPr>
        <w:pStyle w:val="BodyText"/>
        <w:ind w:start="720" w:end="0"/>
        <w:rPr/>
      </w:pPr>
      <w:r>
        <w:rPr>
          <w:i w:val="false"/>
          <w:rPrChange w:id="0" w:author="Unknown" w:date="0-00-00T00:00:00Z"/>
        </w:rPr>
        <w:tab/>
      </w:r>
      <w:r>
        <w:rPr>
          <w:rPrChange w:id="0" w:author="Unknown" w:date="0-00-00T00:00:00Z"/>
        </w:rPr>
        <w:t>Bias</w:t>
      </w:r>
      <w:r>
        <w:rPr>
          <w:i w:val="false"/>
          <w:rPrChange w:id="0" w:author="Unknown" w:date="0-00-00T00:00:00Z"/>
        </w:rPr>
        <w:t xml:space="preserve"> is the ERCOT Control Area bias used in the ACE calculation</w:t>
      </w:r>
      <w:r>
        <w:rPr>
          <w:i w:val="false"/>
          <w:rPrChange w:id="0" w:author="Unknown" w:date="2000-07-01T16:34:00Z"/>
        </w:rPr>
        <w:t>,</w:t>
      </w:r>
    </w:p>
    <w:p>
      <w:pPr>
        <w:pStyle w:val="BodyText"/>
        <w:ind w:start="720" w:end="0"/>
        <w:rPr>
          <w:i w:val="false"/>
          <w:i w:val="false"/>
        </w:rPr>
      </w:pPr>
      <w:r>
        <w:rPr>
          <w:i w:val="false"/>
          <w:rPrChange w:id="0" w:author="Unknown" w:date="2000-07-01T16:34:00Z"/>
        </w:rPr>
      </w:r>
    </w:p>
    <w:p>
      <w:pPr>
        <w:pStyle w:val="Outline"/>
        <w:numPr>
          <w:ilvl w:val="0"/>
          <w:numId w:val="0"/>
        </w:numPr>
        <w:ind w:hanging="0" w:start="1440" w:end="0"/>
        <w:rPr/>
      </w:pPr>
      <w:r>
        <w:rPr>
          <w:i/>
          <w:sz w:val="24"/>
        </w:rPr>
        <w:t>Participation Factor</w:t>
      </w:r>
      <w:r>
        <w:rPr>
          <w:sz w:val="24"/>
        </w:rPr>
        <w:t xml:space="preserve"> is determined by the ratio of the QSE’s awarded regulation to the total regulation purchased</w:t>
      </w:r>
    </w:p>
    <w:p>
      <w:pPr>
        <w:pStyle w:val="Outline"/>
        <w:numPr>
          <w:ilvl w:val="0"/>
          <w:numId w:val="0"/>
        </w:numPr>
        <w:ind w:hanging="0" w:start="1440" w:end="0"/>
        <w:rPr/>
      </w:pPr>
      <w:r>
        <w:rPr>
          <w:rFonts w:eastAsia="Symbol" w:cs="Symbol" w:ascii="Symbol" w:hAnsi="Symbol"/>
          <w:i/>
          <w:sz w:val="24"/>
        </w:rPr>
        <w:sym w:font="Symbol" w:char="f065"/>
      </w:r>
      <w:r>
        <w:rPr>
          <w:rFonts w:cs="Symbol" w:ascii="Symbol" w:hAnsi="Symbol"/>
          <w:i/>
          <w:sz w:val="24"/>
          <w:vertAlign w:val="subscript"/>
        </w:rPr>
        <w:sym w:font="Symbol" w:char="f031"/>
      </w:r>
      <w:r>
        <w:rPr>
          <w:sz w:val="24"/>
        </w:rPr>
        <w:t xml:space="preserve"> </w:t>
      </w:r>
      <w:r>
        <w:rPr>
          <w:sz w:val="24"/>
        </w:rPr>
        <w:t>is a constant derived from the targeted frequency bound. It is the targeted RMS of 1-minute average frequency error from a schedule based on frequency performance over a given year as established by the ERCOT Performance Subcommittee and ERCOT according to NERC Performance Requirements.</w:t>
      </w:r>
    </w:p>
    <w:p>
      <w:pPr>
        <w:pStyle w:val="BodyText"/>
        <w:ind w:start="720" w:end="0"/>
        <w:rPr>
          <w:i w:val="false"/>
          <w:i w:val="false"/>
        </w:rPr>
      </w:pPr>
      <w:r>
        <w:rPr>
          <w:i w:val="false"/>
          <w:rPrChange w:id="0" w:author="Unknown" w:date="0-00-00T00:00:00Z"/>
        </w:rPr>
        <w:t xml:space="preserve">and </w:t>
      </w:r>
    </w:p>
    <w:p>
      <w:pPr>
        <w:pStyle w:val="BodyText"/>
        <w:ind w:start="720" w:end="0"/>
        <w:rPr>
          <w:i w:val="false"/>
          <w:i w:val="false"/>
        </w:rPr>
      </w:pPr>
      <w:r>
        <w:rPr>
          <w:i w:val="false"/>
          <w:rPrChange w:id="0" w:author="Unknown" w:date="0-00-00T00:00:00Z"/>
        </w:rPr>
      </w:r>
    </w:p>
    <w:p>
      <w:pPr>
        <w:pStyle w:val="05textparagraph"/>
        <w:rPr/>
      </w:pPr>
      <w:r>
        <w:rPr/>
        <w:t>(2)</w:t>
        <w:tab/>
        <w:t>the 10-minute averages of the QSE’s SCE meet the following criteria for 90% of the 10-minute periods over the calendar month:</w:t>
      </w:r>
    </w:p>
    <w:p>
      <w:pPr>
        <w:pStyle w:val="BodyText"/>
        <w:ind w:start="720" w:end="0"/>
        <w:rPr>
          <w:i w:val="false"/>
          <w:i w:val="false"/>
          <w:sz w:val="20"/>
          <w:lang w:val="en-CA"/>
        </w:rPr>
      </w:pPr>
      <w:r>
        <w:rPr>
          <w:i w:val="false"/>
          <w:sz w:val="20"/>
          <w:lang w:val="en-CA"/>
          <w:rPrChange w:id="0" w:author="Unknown" w:date="2000-07-01T16:34:00Z"/>
        </w:rPr>
        <w:rPrChange w:id="0" w:author="Unknown" w:date="2000-07-01T16:34:00Z"/>
      </w:r>
      <m:oMath xmlns:m="http://schemas.openxmlformats.org/officeDocument/2006/math">
        <m:d>
          <m:dPr>
            <m:begChr m:val="|"/>
            <m:endChr m:val="|"/>
          </m:dPr>
          <m:e>
            <m:sSub>
              <m:e>
                <m:r>
                  <m:rPr>
                    <m:lit/>
                    <m:nor/>
                  </m:rPr>
                  <m:t xml:space="preserve">SCE</m:t>
                </m:r>
              </m:e>
              <m:sub>
                <m:r>
                  <m:rPr>
                    <m:lit/>
                    <m:nor/>
                  </m:rPr>
                  <m:t xml:space="preserve">10</m:t>
                </m:r>
              </m:sub>
            </m:sSub>
          </m:e>
        </m:d>
        <m:r>
          <m:t xml:space="preserve">≤</m:t>
        </m:r>
        <m:sSub>
          <m:e>
            <m:r>
              <m:t xml:space="preserve">L</m:t>
            </m:r>
          </m:e>
          <m:sub>
            <m:r>
              <m:rPr>
                <m:lit/>
                <m:nor/>
              </m:rPr>
              <m:t xml:space="preserve">10</m:t>
            </m:r>
          </m:sub>
        </m:sSub>
        <m:r>
          <m:t xml:space="preserve">∗</m:t>
        </m:r>
        <m:f>
          <m:num>
            <m:rad>
              <m:radPr>
                <m:degHide m:val="1"/>
              </m:radPr>
              <m:deg/>
              <m:e>
                <m:r>
                  <m:rPr>
                    <m:lit/>
                    <m:nor/>
                  </m:rPr>
                  <m:t xml:space="preserve">ParticipationFactor</m:t>
                </m:r>
              </m:e>
            </m:rad>
          </m:num>
          <m:den>
            <m:nary>
              <m:naryPr>
                <m:chr m:val="∑"/>
                <m:subHide m:val="1"/>
                <m:supHide m:val="1"/>
              </m:naryPr>
              <m:sub/>
              <m:sup/>
              <m:e>
                <m:rad>
                  <m:radPr>
                    <m:degHide m:val="1"/>
                  </m:radPr>
                  <m:deg/>
                  <m:e>
                    <m:r>
                      <m:rPr>
                        <m:lit/>
                        <m:nor/>
                      </m:rPr>
                      <m:t xml:space="preserve">ParticipationFactor</m:t>
                    </m:r>
                  </m:e>
                </m:rad>
              </m:e>
            </m:nary>
          </m:den>
        </m:f>
      </m:oMath>
    </w:p>
    <w:p>
      <w:pPr>
        <w:pStyle w:val="BodyText"/>
        <w:ind w:start="720" w:end="0"/>
        <w:rPr>
          <w:i w:val="false"/>
          <w:i w:val="false"/>
          <w:u w:val="single"/>
        </w:rPr>
      </w:pPr>
      <w:r>
        <w:rPr>
          <w:i w:val="false"/>
          <w:u w:val="single"/>
          <w:rPrChange w:id="0" w:author="Unknown" w:date="0-00-00T00:00:00Z"/>
        </w:rPr>
        <w:rPrChange w:id="0" w:author="Unknown" w:date="0-00-00T00:00:00Z"/>
      </w:r>
    </w:p>
    <w:p>
      <w:pPr>
        <w:pStyle w:val="where"/>
        <w:rPr/>
      </w:pPr>
      <w:r>
        <w:rPr/>
        <w:t xml:space="preserve">where: </w:t>
      </w:r>
    </w:p>
    <w:p>
      <w:pPr>
        <w:pStyle w:val="where"/>
        <w:ind w:hanging="0" w:start="1440" w:end="0"/>
        <w:rPr/>
      </w:pPr>
      <w:r>
        <w:rPr>
          <w:i/>
        </w:rPr>
        <w:t>L</w:t>
      </w:r>
      <w:r>
        <w:rPr>
          <w:i/>
          <w:vertAlign w:val="subscript"/>
        </w:rPr>
        <w:t>10</w:t>
      </w:r>
      <w:r>
        <w:rPr/>
        <w:t xml:space="preserve"> is a constant to recognize the desired performance of frequency for ERCOT as established by the ERCOT Performance Subcommittee and ERCOT according to NERC Performance Requirements.</w:t>
      </w:r>
    </w:p>
    <w:p>
      <w:pPr>
        <w:pStyle w:val="BodyText"/>
        <w:ind w:start="720" w:end="0"/>
        <w:rPr>
          <w:i w:val="false"/>
          <w:i w:val="false"/>
          <w:u w:val="single"/>
        </w:rPr>
      </w:pPr>
      <w:r>
        <w:rPr>
          <w:i w:val="false"/>
          <w:u w:val="single"/>
          <w:rPrChange w:id="0" w:author="Unknown" w:date="0-00-00T00:00:00Z"/>
        </w:rPr>
        <w:rPrChange w:id="0" w:author="Unknown" w:date="0-00-00T00:00:00Z"/>
      </w:r>
    </w:p>
    <w:p>
      <w:pPr>
        <w:pStyle w:val="05textparagraph"/>
        <w:rPr/>
      </w:pPr>
      <w:r>
        <w:rPr>
          <w:b/>
        </w:rPr>
        <w:t>Responsive Reserve Services Monitoring Criteria</w:t>
      </w:r>
      <w:r>
        <w:rPr/>
        <w:t xml:space="preserve">. QSEs providing responsive reserve services shall declare this intent to ERCOT in the Scheduling process. On deployment of any Responsive Reserve service, the QSE shall control its resources to operate to the final resource bilateral schedules as converted to a base power function plus the Instructed Responsive Reserve power requirement. ERCOT calculation of SCE 10 minutes after the deployment instruction will determine the level of Responsive Reserve provided. Satisfactory control performance of the QSE providing only responsive reserve services shall be deemed acceptable when: </w:t>
      </w:r>
    </w:p>
    <w:p>
      <w:pPr>
        <w:pStyle w:val="BodyText"/>
        <w:spacing w:before="0" w:after="120"/>
        <w:ind w:start="720" w:end="0"/>
        <w:rPr>
          <w:i w:val="false"/>
          <w:i w:val="false"/>
          <w:u w:val="single"/>
        </w:rPr>
      </w:pPr>
      <w:r>
        <w:rPr>
          <w:i w:val="false"/>
          <w:u w:val="single"/>
          <w:rPrChange w:id="0" w:author="Unknown" w:date="0-00-00T00:00:00Z"/>
        </w:rPr>
        <w:rPrChange w:id="0" w:author="Unknown" w:date="0-00-00T00:00:00Z"/>
      </w:r>
    </w:p>
    <w:p>
      <w:pPr>
        <w:pStyle w:val="05textparagraph"/>
        <w:rPr/>
      </w:pPr>
      <w:r>
        <w:rPr/>
        <w:t>(1)</w:t>
        <w:tab/>
        <w:t>Not less than 95% nor more than 120% of the responsive reserve requested, subject to the declared capabilities of the QSE, is provided within 10 minutes of ERCOT’s deployment Dispatch Instruction and maintained until recalled or expiration of the QSEs service obligation, and</w:t>
      </w:r>
    </w:p>
    <w:p>
      <w:pPr>
        <w:pStyle w:val="05textparagraph"/>
        <w:rPr/>
      </w:pPr>
      <w:r>
        <w:rPr/>
        <w:t>(2)</w:t>
        <w:tab/>
        <w:t>The RRS requested shall  return to within 90% to 110% of its pre-deployment scheduled output, subject to the declared capabilities of the QSE, within 10 minutes following a recall instruction from ERCOT.</w:t>
      </w:r>
    </w:p>
    <w:p>
      <w:pPr>
        <w:pStyle w:val="05textparagraph"/>
        <w:rPr/>
      </w:pPr>
      <w:r>
        <w:rPr/>
        <w:t>For all frequency deviations exceeding 0.375, ERCOT shall measure and record each 2 second scan rate values of real power output for each QSE Resource providing Responsive Reserve. ERCOT shall measure and record the MW data beginning 1 minute prior to the start of the frequency excursion event until 10 minutes after the start of the frequency excursion event. Satisfactory performance is measured by comparing the actual response to the frequency response capability response required in the ERCOT Operating Guides.</w:t>
      </w:r>
    </w:p>
    <w:p>
      <w:pPr>
        <w:pStyle w:val="05textparagraph"/>
        <w:rPr/>
      </w:pPr>
      <w:r>
        <w:rPr/>
        <w:t>Where multiple observations of operating response are available, the QSE must deliver the required frequency response capability 75% of the time during any single calendar quarter.</w:t>
      </w:r>
    </w:p>
    <w:p>
      <w:pPr>
        <w:pStyle w:val="05textparagraph"/>
        <w:rPr/>
      </w:pPr>
      <w:r>
        <w:rPr>
          <w:b/>
        </w:rPr>
        <w:t>Non-Spinning Reserve Services Monitoring Criteria</w:t>
      </w:r>
      <w:r>
        <w:rPr/>
        <w:t>. QSEs providing Non-Spinning Reserve Services shall declare this intent to ERCOT in the Scheduling process. On deployment of any Non-Spinning Reserve Service, the QSE shall control its resources to operate to the final resource bilateral schedules as converted to a base power function plus the Instructed Non-Spinning Reserve power requirement. ERCOT calculation of SCE 30 minutes after the deployment instruction will determine the level of Non-Spinning Reserve provided. Satisfactory control performance of the QSE providing only Non-Spinning Reserve services shall be deemed acceptable when:</w:t>
      </w:r>
    </w:p>
    <w:p>
      <w:pPr>
        <w:pStyle w:val="BodyText"/>
        <w:ind w:start="720" w:end="0"/>
        <w:rPr>
          <w:i w:val="false"/>
          <w:i w:val="false"/>
        </w:rPr>
      </w:pPr>
      <w:r>
        <w:rPr>
          <w:i w:val="false"/>
          <w:rPrChange w:id="0" w:author="Unknown" w:date="0-00-00T00:00:00Z"/>
        </w:rPr>
        <w:rPrChange w:id="0" w:author="Unknown" w:date="0-00-00T00:00:00Z"/>
      </w:r>
    </w:p>
    <w:p>
      <w:pPr>
        <w:pStyle w:val="05textparagraph"/>
        <w:rPr/>
      </w:pPr>
      <w:r>
        <w:rPr/>
        <w:t>(1)</w:t>
        <w:tab/>
        <w:t xml:space="preserve">Not less than 95% nor more than 120% of the Non-Spinning Reserve services requested, subject to the declared capabilities of the QSE, is provided within 10 minutes of ERCOT’s deployment Dispatch Instruction and maintained until recalled or expiration of the QSEs service obligation, and </w:t>
      </w:r>
    </w:p>
    <w:p>
      <w:pPr>
        <w:pStyle w:val="05textparagraph"/>
        <w:rPr/>
      </w:pPr>
      <w:r>
        <w:rPr/>
        <w:t>(2)</w:t>
        <w:tab/>
        <w:t>The NRS requested shall  return to within 90% to 110% of its pre-deployment scheduled output, subject to the declared capabilities of the QSE, within 10 minutes following a recall instruction from ERCOT.</w:t>
      </w:r>
    </w:p>
    <w:p>
      <w:pPr>
        <w:pStyle w:val="BodyText"/>
        <w:ind w:start="720" w:end="0"/>
        <w:rPr>
          <w:i w:val="false"/>
          <w:i w:val="false"/>
        </w:rPr>
      </w:pPr>
      <w:r>
        <w:rPr>
          <w:i w:val="false"/>
          <w:rPrChange w:id="0" w:author="Unknown" w:date="0-00-00T00:00:00Z"/>
        </w:rPr>
        <w:rPrChange w:id="0" w:author="Unknown" w:date="0-00-00T00:00:00Z"/>
      </w:r>
    </w:p>
    <w:p>
      <w:pPr>
        <w:pStyle w:val="05textparagraph"/>
        <w:rPr/>
      </w:pPr>
      <w:r>
        <w:rPr>
          <w:b/>
        </w:rPr>
        <w:t>Combinations of Reliability Services Monitoring Criteria</w:t>
      </w:r>
      <w:r>
        <w:rPr/>
        <w:t>. QSEs providing a combination of services shall control their resources to the additive result of any number of Dispatch Instructions deployed simultaneously. On deployment of any Balancing Energy, Regulation, Responsive Reserve, and Non-Spinning Reserve Service, the QSE shall control its resources to operate to the final resource bilateral schedules as converted to a base power function plus the additive power requirement of each effective Dispatch Instruction. Satisfactory control performance of the QSE providing a combination of services will determined by one of the following: (1) the criteria for Regulation if Regulation is one of the services deployed, (2) the criteria for Responsive Reserve if Responsive Reserve is one of the services provided and Regulation is not, or (3) the criteria for Non-Spinning Reserve Service if Non-Spinning is one of the services and Regulation and Responsive Reserve are not.</w:t>
      </w:r>
    </w:p>
    <w:p>
      <w:pPr>
        <w:pStyle w:val="05textparagraph"/>
        <w:rPr/>
      </w:pPr>
      <w:r>
        <w:rPr/>
      </w:r>
    </w:p>
    <w:p>
      <w:pPr>
        <w:pStyle w:val="Heading3"/>
        <w:numPr>
          <w:ilvl w:val="2"/>
          <w:numId w:val="18"/>
        </w:numPr>
        <w:ind w:hanging="0" w:start="0"/>
        <w:rPr/>
      </w:pPr>
      <w:r>
        <w:rPr/>
        <w:t>Ancillary Service Deployment Performance Conditions</w:t>
      </w:r>
    </w:p>
    <w:p>
      <w:pPr>
        <w:pStyle w:val="05textparagraph"/>
        <w:rPr/>
      </w:pPr>
      <w:r>
        <w:rPr/>
        <w:t>Under normal operating conditions, ERCOT shall determine the performance of providers of Ancillary Services. ERCOT shall remove from consideration of average performance of a QSE any period during which any of the following events has occurred.</w:t>
      </w:r>
    </w:p>
    <w:p>
      <w:pPr>
        <w:pStyle w:val="1Legal"/>
        <w:tabs>
          <w:tab w:val="clear" w:pos="720"/>
          <w:tab w:val="left" w:pos="1440" w:leader="none"/>
        </w:tabs>
        <w:ind w:hanging="0" w:end="0"/>
        <w:rPr>
          <w:b w:val="false"/>
          <w:sz w:val="24"/>
        </w:rPr>
      </w:pPr>
      <w:r>
        <w:rPr>
          <w:b w:val="false"/>
          <w:sz w:val="24"/>
        </w:rPr>
      </w:r>
    </w:p>
    <w:p>
      <w:pPr>
        <w:pStyle w:val="05textparagraph"/>
        <w:rPr/>
      </w:pPr>
      <w:r>
        <w:rPr/>
        <w:t>(1)</w:t>
        <w:tab/>
        <w:t>The 20 minute period where the QSE has experienced a forced outage causing an ERCOT frequency deviation of greater than 0.02 Hz;</w:t>
      </w:r>
    </w:p>
    <w:p>
      <w:pPr>
        <w:pStyle w:val="05textparagraph"/>
        <w:rPr/>
      </w:pPr>
      <w:r>
        <w:rPr/>
        <w:t>(2)</w:t>
        <w:tab/>
        <w:t>The entire Settlement Intervals for all QSEs in which ERCOT has deployed Balancing Energy in response to an Unusual Event;</w:t>
      </w:r>
    </w:p>
    <w:p>
      <w:pPr>
        <w:pStyle w:val="05textparagraph"/>
        <w:rPr/>
      </w:pPr>
      <w:r>
        <w:rPr/>
        <w:t>(3)</w:t>
        <w:tab/>
        <w:t>The entire Settlement Intervals in which ERCOT has deployed OOME to the QSE;</w:t>
      </w:r>
    </w:p>
    <w:p>
      <w:pPr>
        <w:pStyle w:val="05textparagraph"/>
        <w:rPr/>
      </w:pPr>
      <w:r>
        <w:rPr/>
        <w:t>(4)</w:t>
        <w:tab/>
        <w:t>The period where ERCOT issues instructions to any QSE to be deployed at ramp rates in excess of bid ramp rates;</w:t>
      </w:r>
    </w:p>
    <w:p>
      <w:pPr>
        <w:pStyle w:val="05textparagraph"/>
        <w:rPr/>
      </w:pPr>
      <w:r>
        <w:rPr/>
        <w:t>(5)</w:t>
        <w:tab/>
        <w:t>Certain other periods of abnormal operations as determined by ERCOT.</w:t>
      </w:r>
    </w:p>
    <w:p>
      <w:pPr>
        <w:pStyle w:val="Heading3"/>
        <w:numPr>
          <w:ilvl w:val="2"/>
          <w:numId w:val="18"/>
        </w:numPr>
        <w:ind w:hanging="0" w:start="0"/>
        <w:rPr/>
      </w:pPr>
      <w:r>
        <w:rPr/>
        <w:t>Individual Resource Dispatch Performance</w:t>
      </w:r>
    </w:p>
    <w:p>
      <w:pPr>
        <w:pStyle w:val="Normal"/>
        <w:rPr/>
      </w:pPr>
      <w:r>
        <w:rPr/>
        <w:t>QSEs may receive Dispatch Instructions to operate a specific resource within  limitations specified for an individual resource.  The QSE shall conform to the limitations restricting resource loading for the effective time of the Dispatch Instruction to within 2 MW of the requested limitation.</w:t>
      </w:r>
    </w:p>
    <w:p>
      <w:pPr>
        <w:pStyle w:val="Heading3"/>
        <w:numPr>
          <w:ilvl w:val="2"/>
          <w:numId w:val="18"/>
        </w:numPr>
        <w:ind w:hanging="0" w:start="0"/>
        <w:rPr/>
      </w:pPr>
      <w:r>
        <w:rPr/>
        <w:t>Replacement Reserve Service Performance Criteria</w:t>
      </w:r>
    </w:p>
    <w:p>
      <w:pPr>
        <w:pStyle w:val="05textparagraph"/>
        <w:rPr/>
      </w:pPr>
      <w:r>
        <w:rPr/>
        <w:t xml:space="preserve">QSEs awarded Replacement Reserve Service to bring a Generating Unit on-line or make available load, acting as a resource shall make a good faith effort to cause their resources to be available for Balancing Energy Instructions at the time requested by ERCOT. Any QSE that anticipates for any reason it may not be able to honor its commitment because of unexpected problems shall notify ERCOT immediately. ERCOT will monitor the Real Time telemetry of the subject resource breakers and megawatt output to determine if it is available as purchased. Performance shall be deemed acceptable if the QSE makes available Balancing Energy at least in the amount of the capacity of the awarded unit throughout the period requested. QSEs failing to provide Balancing Energy bids in the amount of the awarded capacity shall not be entitled to compensation for that amount of capacity not made available. </w:t>
      </w:r>
    </w:p>
    <w:p>
      <w:pPr>
        <w:pStyle w:val="Heading3"/>
        <w:numPr>
          <w:ilvl w:val="2"/>
          <w:numId w:val="18"/>
        </w:numPr>
        <w:ind w:hanging="0" w:start="0"/>
        <w:rPr/>
      </w:pPr>
      <w:r>
        <w:rPr/>
        <w:t>Reactive Power Supply from Generation Resources Performance Criteria</w:t>
      </w:r>
    </w:p>
    <w:p>
      <w:pPr>
        <w:pStyle w:val="05textparagraph"/>
        <w:rPr/>
      </w:pPr>
      <w:r>
        <w:rPr/>
        <w:t>ERCOT will maintain a performance log of QSEs acknowledgements of Dispatch Instructions concerning scheduled voltage or scheduled Reactive output requests. QSEs responding in less than 2 minutes from the time of issuance of such requests shall be deemed satisfactory.</w:t>
      </w:r>
    </w:p>
    <w:p>
      <w:pPr>
        <w:pStyle w:val="05textparagraph"/>
        <w:rPr/>
      </w:pPr>
      <w:r>
        <w:rPr/>
        <w:t>ERCOT shall monitor the actual voltage of the substation by retrieving the volt-squared-hours from a settlement meter associated with the subject Generating Unit. The average substation voltage as measured in any settlement period shall be within 1% of the voltage set point. Performance shall be deemed satisfactory if the number of acceptable intervals is greater than 80% of all the intervals in the period when the generating unit is operating above its minimum output.</w:t>
      </w:r>
    </w:p>
    <w:p>
      <w:pPr>
        <w:pStyle w:val="05textparagraph"/>
        <w:rPr/>
      </w:pPr>
      <w:r>
        <w:rPr/>
        <w:t xml:space="preserve">ERCOT shall monitor the Automatic Voltage Regulator to assure that it is on and operating automatically at least 98% of the time in which QSE is providing the Reactive Power Supply from Generation Resources Service. Percentage is calculated as: Time (Automatic Voltage Regulator is on while providing Service)/(Total Time Providing Services) </w:t>
      </w:r>
      <w:r>
        <w:rPr>
          <w:rFonts w:eastAsia="Symbol" w:cs="Symbol" w:ascii="Symbol" w:hAnsi="Symbol"/>
        </w:rPr>
        <w:sym w:font="Symbol" w:char="f0b4"/>
      </w:r>
      <w:r>
        <w:rPr/>
        <w:t xml:space="preserve"> 100%.</w:t>
      </w:r>
    </w:p>
    <w:p>
      <w:pPr>
        <w:pStyle w:val="Heading3"/>
        <w:numPr>
          <w:ilvl w:val="2"/>
          <w:numId w:val="18"/>
        </w:numPr>
        <w:ind w:hanging="0" w:start="0"/>
        <w:rPr/>
      </w:pPr>
      <w:r>
        <w:rPr/>
        <w:t>System Black Start Capability Performance Criteria</w:t>
      </w:r>
    </w:p>
    <w:p>
      <w:pPr>
        <w:pStyle w:val="05textparagraph"/>
        <w:rPr/>
      </w:pPr>
      <w:r>
        <w:rPr/>
        <w:t>The Black Start Unit shall maintain certified System Black Start Capability, with the declared capacity and capabilities of the resources, continuously except during those periods allowed for routine maintenance, in which System Black Start Capability is provided. During a system restoration emergency, the provider shall respond to the instructions of ERCOT, subject to the declared capacity and capabilities of the System Black Start Capability Generating Units.</w:t>
      </w:r>
    </w:p>
    <w:p>
      <w:pPr>
        <w:pStyle w:val="05textparagraph"/>
        <w:rPr/>
      </w:pPr>
      <w:r>
        <w:rPr/>
        <w:t>The Black Start Unit shall complete all initial and ongoing certification requirements.</w:t>
      </w:r>
    </w:p>
    <w:p>
      <w:pPr>
        <w:pStyle w:val="Heading3"/>
        <w:numPr>
          <w:ilvl w:val="2"/>
          <w:numId w:val="18"/>
        </w:numPr>
        <w:ind w:hanging="0" w:start="0"/>
        <w:rPr/>
      </w:pPr>
      <w:r>
        <w:rPr/>
        <w:t>ERCOT Operations Performance</w:t>
      </w:r>
    </w:p>
    <w:p>
      <w:pPr>
        <w:pStyle w:val="05textparagraph"/>
        <w:rPr/>
      </w:pPr>
      <w:r>
        <w:rPr/>
        <w:t>ERCOT shall continuously self-assess its operations and report to all Market Participants its performance in controlling the ERCOT Control Area according to requirements and criteria established by the ERCOT Operating Guides and NERC Policy and Standards for operation of control areas. ERCOT shall report all substandard operations to the ERCOT Technical AdvERCOTry Committee and to the NERC Compliance and Enforcement Committees.</w:t>
      </w:r>
    </w:p>
    <w:p>
      <w:pPr>
        <w:pStyle w:val="05textparagraph"/>
        <w:rPr/>
      </w:pPr>
      <w:r>
        <w:rPr/>
        <w:t>ERCOT shall publish for all Market Participants the total amount of Regulation Up energy deployed and the total amount of Regulation Down energy deployed in each Settlement Interval.</w:t>
      </w:r>
    </w:p>
    <w:p>
      <w:pPr>
        <w:pStyle w:val="05textparagraph"/>
        <w:rPr/>
      </w:pPr>
      <w:r>
        <w:rPr/>
        <w:t>ERCOT will provide monthly a report analyzing the accuracy of each day’s load forecast that was issued at 0600 the Day Ahead of the Operating Day. Similar comparERCOTns shall be made for the 1100 forecast and the forecast in effect at midnight of the start of the Operating Day. The reports will statistically analyze the expected error in energy and peak forecasting.</w:t>
      </w:r>
    </w:p>
    <w:p>
      <w:pPr>
        <w:pStyle w:val="Heading3"/>
        <w:numPr>
          <w:ilvl w:val="2"/>
          <w:numId w:val="18"/>
        </w:numPr>
        <w:ind w:hanging="0" w:start="0"/>
        <w:rPr/>
      </w:pPr>
      <w:r>
        <w:rPr/>
        <w:t xml:space="preserve">Non-Compliance Actions of ERCOT </w:t>
      </w:r>
    </w:p>
    <w:p>
      <w:pPr>
        <w:pStyle w:val="05textparagraph"/>
        <w:rPr/>
      </w:pPr>
      <w:r>
        <w:rPr/>
        <w:t>ERCOT may decertify the QSE providing Ancillary Services for continued under-performance as is specified in the NERC and ERCOT Compliance Monitoring Program. ERCOT and ERCOT’s Compliance Director shall determine for TAC approval levels of non-Compliance for providers of Ancillary Services. These levels of non-compliance shall be used to escalate enforcement action to obtain compliance.</w:t>
      </w:r>
    </w:p>
    <w:p>
      <w:pPr>
        <w:pStyle w:val="05textparagraph"/>
        <w:rPr/>
      </w:pPr>
      <w:r>
        <w:rPr/>
        <w:t>Failure to deliver energy resulting from a valid Dispatch Instruction is cause for ERCOT to withhold payment on a prorated basis for any Services purchased and not delivered.</w:t>
      </w:r>
    </w:p>
    <w:p>
      <w:pPr>
        <w:pStyle w:val="05textparagraph"/>
        <w:rPr/>
      </w:pPr>
      <w:r>
        <w:rPr/>
        <w:t>ERCOT will make information relative to each QSE’s performance as well as ERCOT’s performance available to the marketplace on a monthly basis, without violating the market principle of keeping proprietary information confidential.</w:t>
      </w:r>
    </w:p>
    <w:p>
      <w:pPr>
        <w:sectPr>
          <w:headerReference w:type="default" r:id="rId4"/>
          <w:footerReference w:type="default" r:id="rId5"/>
          <w:footnotePr>
            <w:numFmt w:val="decimal"/>
          </w:footnotePr>
          <w:type w:val="nextPage"/>
          <w:pgSz w:w="12240" w:h="15840"/>
          <w:pgMar w:left="1800" w:right="1620" w:gutter="0" w:header="720" w:top="1440" w:footer="720" w:bottom="1440"/>
          <w:pgNumType w:start="1" w:fmt="decimal"/>
          <w:formProt w:val="false"/>
          <w:textDirection w:val="lrTb"/>
          <w:docGrid w:type="default" w:linePitch="360" w:charSpace="0"/>
        </w:sectPr>
      </w:pPr>
    </w:p>
    <w:p>
      <w:pPr>
        <w:pStyle w:val="05textparagraph"/>
        <w:spacing w:before="0" w:after="120"/>
        <w:rPr/>
      </w:pPr>
      <w:r>
        <w:rPr/>
      </w:r>
    </w:p>
    <w:sectPr>
      <w:footnotePr>
        <w:numFmt w:val="decimal"/>
      </w:footnotePr>
      <w:type w:val="continuous"/>
      <w:pgSz w:w="12240" w:h="15840"/>
      <w:pgMar w:left="1440" w:right="1440" w:gutter="0" w:header="72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Marlett">
    <w:charset w:val="02"/>
    <w:family w:val="auto"/>
    <w:pitch w:val="variable"/>
  </w:font>
  <w:font w:name="Monotype Sorts">
    <w:charset w:val="02"/>
    <w:family w:val="auto"/>
    <w:pitch w:val="variable"/>
  </w:font>
  <w:font w:name="Courier">
    <w:altName w:val="Courier New"/>
    <w:charset w:val="00" w:characterSet="windows-1252"/>
    <w:family w:val="modern"/>
    <w:pitch w:val="default"/>
  </w:font>
  <w:font w:name="Century Schoolbook">
    <w:charset w:val="00" w:characterSet="windows-1252"/>
    <w:family w:val="roman"/>
    <w:pitch w:val="variable"/>
  </w:font>
  <w:font w:name="CG Times">
    <w:charset w:val="00" w:characterSet="windows-1252"/>
    <w:family w:val="roman"/>
    <w:pitch w:val="variable"/>
  </w:font>
  <w:font w:name="Tahoma">
    <w:charset w:val="00" w:characterSet="windows-1252"/>
    <w:family w:val="swiss"/>
    <w:pitch w:val="variable"/>
  </w:font>
  <w:font w:name="Benguiat">
    <w:charset w:val="00" w:characterSet="windows-1252"/>
    <w:family w:val="roman"/>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2514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251460"/>
                      </a:xfrm>
                      <a:prstGeom prst="rect"/>
                      <a:solidFill>
                        <a:srgbClr val="FFFFFF">
                          <a:alpha val="0"/>
                        </a:srgbClr>
                      </a:solidFill>
                    </wps:spPr>
                    <wps:txbx>
                      <w:txbxContent>
                        <w:p>
                          <w:pPr>
                            <w:pStyle w:val="Footer"/>
                            <w:spacing w:before="120" w:after="120"/>
                            <w:rPr>
                              <w:rStyle w:val="PageNumber"/>
                            </w:rPr>
                          </w:pPr>
                          <w:r>
                            <w:rPr/>
                          </w:r>
                        </w:p>
                      </w:txbxContent>
                    </wps:txbx>
                    <wps:bodyPr anchor="t" lIns="0" tIns="0" rIns="0" bIns="0">
                      <a:noAutofit/>
                    </wps:bodyPr>
                  </wps:wsp>
                </a:graphicData>
              </a:graphic>
            </wp:anchor>
          </w:drawing>
        </mc:Choice>
        <mc:Fallback>
          <w:pict>
            <v:rect fillcolor="#FFFFFF" style="position:absolute;rotation:-0;width:1.15pt;height:19.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spacing w:before="120" w:after="120"/>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ind w:end="360"/>
      <w:rPr>
        <w:sz w:val="20"/>
      </w:rPr>
    </w:pPr>
    <w:r>
      <w:rPr>
        <w:sz w:val="20"/>
      </w:rPr>
      <w:t>ERCOT Protocols – Draft Version: July 27, 2000</w:t>
    </w:r>
    <w:r>
      <mc:AlternateContent>
        <mc:Choice Requires="wps">
          <w:drawing>
            <wp:anchor behindDoc="0" distT="0" distB="0" distL="0" distR="0" simplePos="0" locked="0" layoutInCell="0" allowOverlap="1" relativeHeight="48">
              <wp:simplePos x="0" y="0"/>
              <wp:positionH relativeFrom="margin">
                <wp:align>right</wp:align>
              </wp:positionH>
              <wp:positionV relativeFrom="paragraph">
                <wp:posOffset>635</wp:posOffset>
              </wp:positionV>
              <wp:extent cx="153035" cy="251460"/>
              <wp:effectExtent l="0" t="0" r="0" b="0"/>
              <wp:wrapSquare wrapText="bothSides"/>
              <wp:docPr id="4" name="Frame5"/>
              <a:graphic xmlns:a="http://schemas.openxmlformats.org/drawingml/2006/main">
                <a:graphicData uri="http://schemas.microsoft.com/office/word/2010/wordprocessingShape">
                  <wps:wsp>
                    <wps:cNvSpPr txBox="1"/>
                    <wps:spPr>
                      <a:xfrm>
                        <a:off x="0" y="0"/>
                        <a:ext cx="153035" cy="251460"/>
                      </a:xfrm>
                      <a:prstGeom prst="rect"/>
                      <a:solidFill>
                        <a:srgbClr val="FFFFFF">
                          <a:alpha val="0"/>
                        </a:srgbClr>
                      </a:solidFill>
                    </wps:spPr>
                    <wps:txbx>
                      <w:txbxContent>
                        <w:p>
                          <w:pPr>
                            <w:pStyle w:val="Footer"/>
                            <w:spacing w:before="12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9.8pt;mso-wrap-distance-left:0pt;mso-wrap-distance-right:0pt;mso-wrap-distance-top:0pt;mso-wrap-distance-bottom:0pt;margin-top:0.05pt;mso-position-vertical-relative:text;margin-left:428.95pt;mso-position-horizontal:right;mso-position-horizontal-relative:margin">
              <v:fill opacity="0f"/>
              <v:textbox inset="0in,0in,0in,0in">
                <w:txbxContent>
                  <w:p>
                    <w:pPr>
                      <w:pStyle w:val="Footer"/>
                      <w:spacing w:before="12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From the minutes of the July 13-14, 2000 TAC meeting.  More detail is required.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nil"/>
      </w:pBdr>
      <w:rPr>
        <w:caps w:val="false"/>
        <w:smallCaps w:val="false"/>
      </w:rPr>
    </w:pPr>
    <w:r>
      <w:rPr>
        <w:caps w:val="false"/>
        <w:smallCaps w:val="false"/>
      </w:rPr>
    </w:r>
  </w:p>
  <w:p>
    <w:pPr>
      <w:pStyle w:val="Normal"/>
      <w:jc w:val="center"/>
      <w:rPr>
        <w:rFonts w:ascii="Arial" w:hAnsi="Arial" w:cs="Arial"/>
        <w:b/>
        <w:smallCaps/>
        <w:sz w:val="28"/>
      </w:rPr>
    </w:pPr>
    <w:r>
      <w:rPr>
        <w:rFonts w:cs="Arial" w:ascii="Arial" w:hAnsi="Arial"/>
        <w:b/>
        <w:smallCaps/>
        <w:sz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Section 6: Ancillary Services</w:t>
    </w:r>
  </w:p>
  <w:p>
    <w:pPr>
      <w:pStyle w:val="Normal"/>
      <w:jc w:val="center"/>
      <w:rPr>
        <w:rFonts w:ascii="Arial" w:hAnsi="Arial" w:cs="Arial"/>
        <w:b/>
        <w:sz w:val="28"/>
      </w:rPr>
    </w:pPr>
    <w:r>
      <w:rPr>
        <w:rFonts w:cs="Arial" w:ascii="Arial" w:hAnsi="Arial"/>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432"/>
        </w:tabs>
        <w:ind w:start="432" w:hanging="432"/>
      </w:pPr>
      <w:rPr/>
    </w:lvl>
    <w:lvl w:ilvl="1">
      <w:start w:val="1"/>
      <w:numFmt w:val="decimal"/>
      <w:lvlText w:val="%1.%2"/>
      <w:lvlJc w:val="start"/>
      <w:pPr>
        <w:tabs>
          <w:tab w:val="num" w:pos="576"/>
        </w:tabs>
        <w:ind w:start="576" w:hanging="576"/>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6"/>
      <w:numFmt w:val="bullet"/>
      <w:lvlText w:val="+"/>
      <w:lvlJc w:val="start"/>
      <w:pPr>
        <w:tabs>
          <w:tab w:val="num" w:pos="2520"/>
        </w:tabs>
        <w:ind w:start="2520" w:hanging="360"/>
      </w:pPr>
      <w:rPr>
        <w:rFonts w:ascii="Times New Roman" w:hAnsi="Times New Roman" w:cs="Times New Roman" w:hint="default"/>
      </w:rPr>
    </w:lvl>
  </w:abstractNum>
  <w:abstractNum w:abstractNumId="6">
    <w:lvl w:ilvl="0">
      <w:start w:val="1"/>
      <w:numFmt w:val="bullet"/>
      <w:lvlText w:val=""/>
      <w:lvlJc w:val="start"/>
      <w:pPr>
        <w:tabs>
          <w:tab w:val="num" w:pos="360"/>
        </w:tabs>
        <w:ind w:start="360" w:hanging="360"/>
      </w:pPr>
      <w:rPr>
        <w:rFonts w:ascii="Symbol" w:hAnsi="Symbol" w:cs="Symbol" w:hint="default"/>
        <w:sz w:val="20"/>
        <w:color w:val="auto"/>
      </w:rPr>
    </w:lvl>
  </w:abstractNum>
  <w:abstractNum w:abstractNumId="7">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8">
    <w:lvl w:ilvl="0">
      <w:start w:val="6"/>
      <w:numFmt w:val="bullet"/>
      <w:lvlText w:val="–"/>
      <w:lvlJc w:val="start"/>
      <w:pPr>
        <w:tabs>
          <w:tab w:val="num" w:pos="2520"/>
        </w:tabs>
        <w:ind w:start="2520" w:hanging="360"/>
      </w:pPr>
      <w:rPr>
        <w:rFonts w:ascii="Times New Roman" w:hAnsi="Times New Roman" w:cs="Times New Roman"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1">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2">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3">
    <w:lvl w:ilvl="0">
      <w:start w:val="5"/>
      <w:numFmt w:val="decimal"/>
      <w:lvlText w:val="(%1)"/>
      <w:lvlJc w:val="start"/>
      <w:pPr>
        <w:tabs>
          <w:tab w:val="num" w:pos="720"/>
        </w:tabs>
        <w:ind w:start="720" w:hanging="720"/>
      </w:pPr>
      <w:rPr/>
    </w:lvl>
  </w:abstractNum>
  <w:abstractNum w:abstractNumId="14">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5">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6">
    <w:lvl w:ilvl="0">
      <w:start w:val="1"/>
      <w:numFmt w:val="lowerLetter"/>
      <w:lvlText w:val="(%1)"/>
      <w:lvlJc w:val="start"/>
      <w:pPr>
        <w:tabs>
          <w:tab w:val="num" w:pos="1800"/>
        </w:tabs>
        <w:ind w:start="1800" w:hanging="360"/>
      </w:pPr>
      <w:rPr/>
    </w:lvl>
    <w:lvl w:ilvl="1">
      <w:start w:val="1"/>
      <w:numFmt w:val="lowerLetter"/>
      <w:lvlText w:val="%2."/>
      <w:lvlJc w:val="start"/>
      <w:pPr>
        <w:tabs>
          <w:tab w:val="num" w:pos="2160"/>
        </w:tabs>
        <w:ind w:start="2160" w:hanging="360"/>
      </w:p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17">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8">
    <w:lvl w:ilvl="0">
      <w:start w:val="6"/>
      <w:numFmt w:val="decimal"/>
      <w:lvlText w:val="%1."/>
      <w:lvlJc w:val="start"/>
      <w:pPr>
        <w:tabs>
          <w:tab w:val="num" w:pos="720"/>
        </w:tabs>
        <w:ind w:start="720" w:hanging="720"/>
      </w:pPr>
      <w:rPr/>
    </w:lvl>
    <w:lvl w:ilvl="1">
      <w:start w:val="1"/>
      <w:numFmt w:val="decimal"/>
      <w:lvlText w:val="%1.%2."/>
      <w:lvlJc w:val="start"/>
      <w:pPr>
        <w:tabs>
          <w:tab w:val="num" w:pos="792"/>
        </w:tabs>
        <w:ind w:start="792" w:hanging="432"/>
      </w:pPr>
      <w:rPr/>
    </w:lvl>
    <w:lvl w:ilvl="2">
      <w:start w:val="1"/>
      <w:numFmt w:val="decimal"/>
      <w:lvlText w:val="%1.%2.%3."/>
      <w:lvlJc w:val="start"/>
      <w:pPr>
        <w:tabs>
          <w:tab w:val="num" w:pos="1440"/>
        </w:tabs>
        <w:ind w:start="1224" w:hanging="504"/>
      </w:pPr>
      <w:rPr/>
    </w:lvl>
    <w:lvl w:ilvl="3">
      <w:start w:val="1"/>
      <w:numFmt w:val="decimal"/>
      <w:lvlText w:val="%1.%2.%3.%4."/>
      <w:lvlJc w:val="start"/>
      <w:pPr>
        <w:tabs>
          <w:tab w:val="num" w:pos="2160"/>
        </w:tabs>
        <w:ind w:start="1728" w:hanging="648"/>
      </w:pPr>
      <w:rPr/>
    </w:lvl>
    <w:lvl w:ilvl="4">
      <w:start w:val="1"/>
      <w:numFmt w:val="decimal"/>
      <w:lvlText w:val="%1.%2.%3.%4.%5."/>
      <w:lvlJc w:val="start"/>
      <w:pPr>
        <w:tabs>
          <w:tab w:val="num" w:pos="2520"/>
        </w:tabs>
        <w:ind w:start="2232" w:hanging="792"/>
      </w:pPr>
      <w:rPr/>
    </w:lvl>
    <w:lvl w:ilvl="5">
      <w:start w:val="1"/>
      <w:numFmt w:val="decimal"/>
      <w:lvlText w:val="%1.%2.%3.%4.%5.%6."/>
      <w:lvlJc w:val="start"/>
      <w:pPr>
        <w:tabs>
          <w:tab w:val="num" w:pos="324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4320"/>
        </w:tabs>
        <w:ind w:start="3744" w:hanging="1224"/>
      </w:pPr>
      <w:rPr/>
    </w:lvl>
    <w:lvl w:ilvl="8">
      <w:start w:val="1"/>
      <w:numFmt w:val="decimal"/>
      <w:lvlText w:val="%1.%2.%3.%4.%5.%6.%7.%8.%9."/>
      <w:lvlJc w:val="start"/>
      <w:pPr>
        <w:tabs>
          <w:tab w:val="num" w:pos="4680"/>
        </w:tabs>
        <w:ind w:start="4320" w:hanging="1440"/>
      </w:pPr>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decimal"/>
      <w:lvlText w:val="%1."/>
      <w:lvlJc w:val="start"/>
      <w:pPr>
        <w:tabs>
          <w:tab w:val="num" w:pos="1440"/>
        </w:tabs>
        <w:ind w:start="1440" w:hanging="720"/>
      </w:pPr>
      <w:rPr/>
    </w:lvl>
  </w:abstractNum>
  <w:abstractNum w:abstractNumId="22">
    <w:lvl w:ilvl="0">
      <w:start w:val="6"/>
      <w:numFmt w:val="decimal"/>
      <w:lvlText w:val="(%1)"/>
      <w:lvlJc w:val="start"/>
      <w:pPr>
        <w:tabs>
          <w:tab w:val="num" w:pos="720"/>
        </w:tabs>
        <w:ind w:start="720" w:hanging="720"/>
      </w:pPr>
      <w:rPr/>
    </w:lvl>
  </w:abstractNum>
  <w:abstractNum w:abstractNumId="23">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24">
    <w:lvl w:ilvl="0">
      <w:start w:val="11"/>
      <w:numFmt w:val="decimal"/>
      <w:lvlText w:val="(%1)"/>
      <w:lvlJc w:val="start"/>
      <w:pPr>
        <w:tabs>
          <w:tab w:val="num" w:pos="720"/>
        </w:tabs>
        <w:ind w:start="720" w:hanging="720"/>
      </w:pPr>
      <w:rPr/>
    </w:lvl>
  </w:abstractNum>
  <w:abstractNum w:abstractNumId="25">
    <w:lvl w:ilvl="0">
      <w:start w:val="1"/>
      <w:numFmt w:val="decimal"/>
      <w:lvlText w:val="%1."/>
      <w:lvlJc w:val="start"/>
      <w:pPr>
        <w:tabs>
          <w:tab w:val="num" w:pos="720"/>
        </w:tabs>
        <w:ind w:start="720" w:hanging="72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216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26">
    <w:lvl w:ilvl="0">
      <w:start w:val="7"/>
      <w:numFmt w:val="decimal"/>
      <w:lvlText w:val="(%1)"/>
      <w:lvlJc w:val="start"/>
      <w:pPr>
        <w:tabs>
          <w:tab w:val="num" w:pos="720"/>
        </w:tabs>
        <w:ind w:start="720" w:hanging="720"/>
      </w:pPr>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3"/>
      <w:numFmt w:val="bullet"/>
      <w:lvlText w:val="–"/>
      <w:lvlJc w:val="start"/>
      <w:pPr>
        <w:tabs>
          <w:tab w:val="num" w:pos="2520"/>
        </w:tabs>
        <w:ind w:start="2520" w:hanging="360"/>
      </w:pPr>
      <w:rPr>
        <w:rFonts w:ascii="Liberation Serif" w:hAnsi="Liberation Serif" w:cs="Liberation Serif" w:hint="default"/>
      </w:rPr>
    </w:lvl>
  </w:abstractNum>
  <w:abstractNum w:abstractNumId="29">
    <w:lvl w:ilvl="0">
      <w:start w:val="5"/>
      <w:numFmt w:val="decimal"/>
      <w:lvlText w:val="%1."/>
      <w:lvlJc w:val="start"/>
      <w:pPr>
        <w:tabs>
          <w:tab w:val="num" w:pos="720"/>
        </w:tabs>
        <w:ind w:start="720" w:hanging="720"/>
      </w:pPr>
      <w:rPr>
        <w:sz w:val="22"/>
        <w:i w:val="false"/>
        <w:b/>
        <w:rFonts w:ascii="Times New Roman" w:hAnsi="Times New Roman" w:cs="Times New Roman"/>
      </w:rPr>
    </w:lvl>
    <w:lvl w:ilvl="1">
      <w:start w:val="1"/>
      <w:numFmt w:val="decimal"/>
      <w:lvlText w:val="%1.%2."/>
      <w:lvlJc w:val="start"/>
      <w:pPr>
        <w:tabs>
          <w:tab w:val="num" w:pos="1440"/>
        </w:tabs>
        <w:ind w:start="1440" w:hanging="720"/>
      </w:pPr>
      <w:rPr>
        <w:sz w:val="22"/>
        <w:i w:val="false"/>
        <w:b/>
        <w:rFonts w:ascii="Times New Roman" w:hAnsi="Times New Roman" w:cs="Times New Roman"/>
      </w:rPr>
    </w:lvl>
    <w:lvl w:ilvl="2">
      <w:start w:val="1"/>
      <w:numFmt w:val="bullet"/>
      <w:lvlText w:val=""/>
      <w:lvlJc w:val="start"/>
      <w:pPr>
        <w:tabs>
          <w:tab w:val="num" w:pos="1440"/>
        </w:tabs>
        <w:ind w:start="1440" w:hanging="720"/>
      </w:pPr>
      <w:rPr>
        <w:rFonts w:ascii="Symbol" w:hAnsi="Symbol" w:cs="Symbol" w:hint="default"/>
        <w:sz w:val="22"/>
        <w:i w:val="false"/>
        <w:b/>
        <w:color w:val="auto"/>
      </w:rPr>
    </w:lvl>
    <w:lvl w:ilvl="3">
      <w:start w:val="1"/>
      <w:numFmt w:val="decimal"/>
      <w:lvlText w:val="%1.%2.%3%4."/>
      <w:lvlJc w:val="start"/>
      <w:pPr>
        <w:tabs>
          <w:tab w:val="num" w:pos="2160"/>
        </w:tabs>
        <w:ind w:start="2160" w:hanging="720"/>
      </w:pPr>
      <w:rPr>
        <w:sz w:val="22"/>
        <w:i w:val="false"/>
        <w:b/>
        <w:rFonts w:ascii="Times New Roman" w:hAnsi="Times New Roman" w:cs="Times New Roman"/>
      </w:rPr>
    </w:lvl>
    <w:lvl w:ilvl="4">
      <w:start w:val="1"/>
      <w:numFmt w:val="bullet"/>
      <w:lvlText w:val=""/>
      <w:lvlJc w:val="start"/>
      <w:pPr>
        <w:tabs>
          <w:tab w:val="num" w:pos="2160"/>
        </w:tabs>
        <w:ind w:start="2160" w:hanging="720"/>
      </w:pPr>
      <w:rPr>
        <w:rFonts w:ascii="Symbol" w:hAnsi="Symbol" w:cs="Symbol" w:hint="default"/>
        <w:sz w:val="22"/>
        <w:i w:val="false"/>
        <w:b/>
        <w:color w:val="auto"/>
      </w:rPr>
    </w:lvl>
    <w:lvl w:ilvl="5">
      <w:start w:val="1"/>
      <w:numFmt w:val="decimal"/>
      <w:lvlText w:val="%1.%2.%3%4.%5%6."/>
      <w:lvlJc w:val="start"/>
      <w:pPr>
        <w:tabs>
          <w:tab w:val="num" w:pos="3240"/>
        </w:tabs>
        <w:ind w:start="2880" w:hanging="720"/>
      </w:pPr>
      <w:rPr>
        <w:sz w:val="22"/>
        <w:i w:val="false"/>
        <w:b/>
        <w:rFonts w:ascii="Times New Roman" w:hAnsi="Times New Roman" w:cs="Times New Roman"/>
      </w:r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30">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1">
    <w:lvl w:ilvl="0">
      <w:start w:val="10"/>
      <w:numFmt w:val="decimal"/>
      <w:lvlText w:val="(%1)"/>
      <w:lvlJc w:val="start"/>
      <w:pPr>
        <w:tabs>
          <w:tab w:val="num" w:pos="390"/>
        </w:tabs>
        <w:ind w:start="390" w:hanging="390"/>
      </w:pPr>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6">
    <w:lvl w:ilvl="0">
      <w:numFmt w:val="bullet"/>
      <w:lvlText w:val=""/>
      <w:lvlJc w:val="start"/>
      <w:pPr>
        <w:tabs>
          <w:tab w:val="num" w:pos="360"/>
        </w:tabs>
        <w:ind w:start="1440" w:hanging="360"/>
      </w:pPr>
      <w:rPr>
        <w:rFonts w:ascii="Symbol" w:hAnsi="Symbol" w:cs="Symbol" w:hint="default"/>
      </w:rPr>
    </w:lvl>
  </w:abstractNum>
  <w:abstractNum w:abstractNumId="3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11"/>
    <w:lvlOverride w:ilvl="0">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8"/>
      </w:numPr>
      <w:spacing w:before="0" w:after="240"/>
      <w:outlineLvl w:val="0"/>
    </w:pPr>
    <w:rPr>
      <w:b/>
      <w:caps/>
    </w:rPr>
  </w:style>
  <w:style w:type="paragraph" w:styleId="Heading2">
    <w:name w:val="heading 2"/>
    <w:basedOn w:val="Normal"/>
    <w:next w:val="Normal"/>
    <w:qFormat/>
    <w:pPr>
      <w:keepNext w:val="true"/>
      <w:numPr>
        <w:ilvl w:val="0"/>
        <w:numId w:val="18"/>
      </w:numPr>
      <w:spacing w:before="240" w:after="240"/>
      <w:outlineLvl w:val="1"/>
    </w:pPr>
    <w:rPr>
      <w:b/>
    </w:rPr>
  </w:style>
  <w:style w:type="paragraph" w:styleId="Heading3">
    <w:name w:val="heading 3"/>
    <w:basedOn w:val="Normal"/>
    <w:next w:val="Normal"/>
    <w:qFormat/>
    <w:pPr>
      <w:keepNext w:val="true"/>
      <w:numPr>
        <w:ilvl w:val="0"/>
        <w:numId w:val="18"/>
      </w:numPr>
      <w:spacing w:before="120" w:after="120"/>
      <w:outlineLvl w:val="2"/>
    </w:pPr>
    <w:rPr>
      <w:i/>
    </w:rPr>
  </w:style>
  <w:style w:type="paragraph" w:styleId="Heading4">
    <w:name w:val="heading 4"/>
    <w:basedOn w:val="Normal"/>
    <w:next w:val="Normal"/>
    <w:qFormat/>
    <w:pPr>
      <w:keepNext w:val="true"/>
      <w:widowControl w:val="false"/>
      <w:numPr>
        <w:ilvl w:val="0"/>
        <w:numId w:val="18"/>
      </w:numPr>
      <w:spacing w:before="360" w:after="240"/>
      <w:outlineLvl w:val="3"/>
    </w:pPr>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30z0">
    <w:name w:val="WW8Num30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Courier New" w:hAnsi="Courier New" w:cs="Courier New"/>
      <w:b/>
      <w:i w:val="false"/>
      <w:shadow/>
      <w:color w:val="000080"/>
      <w:sz w:val="36"/>
    </w:rPr>
  </w:style>
  <w:style w:type="character" w:styleId="WW8Num95z0">
    <w:name w:val="WW8Num95z0"/>
    <w:qFormat/>
    <w:rPr/>
  </w:style>
  <w:style w:type="character" w:styleId="WW8Num96z0">
    <w:name w:val="WW8Num96z0"/>
    <w:qFormat/>
    <w:rPr>
      <w:rFonts w:ascii="Courier New" w:hAnsi="Courier New" w:cs="Courier New"/>
      <w:b/>
      <w:i w:val="false"/>
      <w:shadow/>
      <w:color w:val="000080"/>
      <w:sz w:val="36"/>
    </w:rPr>
  </w:style>
  <w:style w:type="character" w:styleId="WW8Num97z0">
    <w:name w:val="WW8Num97z0"/>
    <w:qFormat/>
    <w:rPr/>
  </w:style>
  <w:style w:type="character" w:styleId="WW8Num99z0">
    <w:name w:val="WW8Num99z0"/>
    <w:qFormat/>
    <w:rPr>
      <w:rFonts w:ascii="Symbol" w:hAnsi="Symbol" w:cs="Symbol"/>
      <w:color w:val="000000"/>
      <w:sz w:val="18"/>
      <w:szCs w:val="18"/>
    </w:rPr>
  </w:style>
  <w:style w:type="character" w:styleId="WW8Num100z0">
    <w:name w:val="WW8Num100z0"/>
    <w:qFormat/>
    <w:rPr>
      <w:rFonts w:ascii="Symbol" w:hAnsi="Symbol" w:cs="Symbol"/>
    </w:rPr>
  </w:style>
  <w:style w:type="character" w:styleId="WW8Num101z0">
    <w:name w:val="WW8Num101z0"/>
    <w:qFormat/>
    <w:rPr>
      <w:b/>
      <w:u w:val="single"/>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5z0">
    <w:name w:val="WW8Num105z0"/>
    <w:qFormat/>
    <w:rPr>
      <w:rFonts w:ascii="Times New Roman" w:hAnsi="Times New Roman" w:cs="Times New Roman"/>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Arial" w:hAnsi="Arial" w:cs="Arial"/>
      <w:b/>
      <w:i w:val="false"/>
      <w:sz w:val="24"/>
    </w:rPr>
  </w:style>
  <w:style w:type="character" w:styleId="WW8Num109z0">
    <w:name w:val="WW8Num109z0"/>
    <w:qFormat/>
    <w:rPr>
      <w:rFonts w:ascii="Symbol" w:hAnsi="Symbol" w:cs="Symbol"/>
    </w:rPr>
  </w:style>
  <w:style w:type="character" w:styleId="WW8Num110z0">
    <w:name w:val="WW8Num110z0"/>
    <w:qFormat/>
    <w:rPr/>
  </w:style>
  <w:style w:type="character" w:styleId="WW8Num113z0">
    <w:name w:val="WW8Num113z0"/>
    <w:qFormat/>
    <w:rPr>
      <w:rFonts w:ascii="Wingdings" w:hAnsi="Wingdings" w:cs="Wingdings"/>
    </w:rPr>
  </w:style>
  <w:style w:type="character" w:styleId="WW8Num114z0">
    <w:name w:val="WW8Num114z0"/>
    <w:qFormat/>
    <w:rPr/>
  </w:style>
  <w:style w:type="character" w:styleId="WW8Num115z0">
    <w:name w:val="WW8Num115z0"/>
    <w:qFormat/>
    <w:rPr>
      <w:rFonts w:ascii="Symbol" w:hAnsi="Symbol" w:cs="Symbol"/>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6z0">
    <w:name w:val="WW8Num116z0"/>
    <w:qFormat/>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9z0">
    <w:name w:val="WW8Num119z0"/>
    <w:qFormat/>
    <w:rPr/>
  </w:style>
  <w:style w:type="character" w:styleId="WW8Num120z0">
    <w:name w:val="WW8Num120z0"/>
    <w:qFormat/>
    <w:rPr>
      <w:rFonts w:ascii="Symbol" w:hAnsi="Symbol" w:cs="Symbol"/>
    </w:rPr>
  </w:style>
  <w:style w:type="character" w:styleId="WW8Num121z0">
    <w:name w:val="WW8Num121z0"/>
    <w:qFormat/>
    <w:rPr/>
  </w:style>
  <w:style w:type="character" w:styleId="WW8Num122z0">
    <w:name w:val="WW8Num122z0"/>
    <w:qFormat/>
    <w:rPr>
      <w:rFonts w:ascii="Symbol" w:hAnsi="Symbol" w:cs="Symbol"/>
    </w:rPr>
  </w:style>
  <w:style w:type="character" w:styleId="WW8Num123z0">
    <w:name w:val="WW8Num123z0"/>
    <w:qFormat/>
    <w:rPr/>
  </w:style>
  <w:style w:type="character" w:styleId="WW8Num124z0">
    <w:name w:val="WW8Num124z0"/>
    <w:qFormat/>
    <w:rPr>
      <w:rFonts w:ascii="Times New Roman" w:hAnsi="Times New Roman" w:cs="Times New Roman"/>
      <w:b/>
      <w:i w:val="false"/>
      <w:sz w:val="24"/>
      <w:szCs w:val="24"/>
      <w:u w:val="none"/>
    </w:rPr>
  </w:style>
  <w:style w:type="character" w:styleId="WW8Num124z1">
    <w:name w:val="WW8Num124z1"/>
    <w:qFormat/>
    <w:rPr>
      <w:rFonts w:ascii="Times New Roman" w:hAnsi="Times New Roman" w:cs="Times New Roman"/>
      <w:b/>
      <w:i w:val="false"/>
      <w:sz w:val="24"/>
      <w:szCs w:val="24"/>
    </w:rPr>
  </w:style>
  <w:style w:type="character" w:styleId="WW8Num124z4">
    <w:name w:val="WW8Num124z4"/>
    <w:qFormat/>
    <w:rPr>
      <w:rFonts w:ascii="Times New Roman" w:hAnsi="Times New Roman" w:cs="Times New Roman"/>
      <w:b w:val="false"/>
      <w:i w:val="false"/>
      <w:sz w:val="24"/>
      <w:szCs w:val="24"/>
    </w:rPr>
  </w:style>
  <w:style w:type="character" w:styleId="WW8Num127z1">
    <w:name w:val="WW8Num127z1"/>
    <w:qFormat/>
    <w:rPr/>
  </w:style>
  <w:style w:type="character" w:styleId="WW8Num128z0">
    <w:name w:val="WW8Num128z0"/>
    <w:qFormat/>
    <w:rPr>
      <w:rFonts w:ascii="Symbol" w:hAnsi="Symbol" w:cs="Symbol"/>
      <w:b w:val="false"/>
      <w:i w:val="false"/>
      <w:sz w:val="22"/>
    </w:rPr>
  </w:style>
  <w:style w:type="character" w:styleId="WW8Num128z1">
    <w:name w:val="WW8Num128z1"/>
    <w:qFormat/>
    <w:rPr>
      <w:rFonts w:ascii="Symbol" w:hAnsi="Symbol" w:cs="Symbol"/>
      <w:b/>
      <w:i w:val="false"/>
      <w:sz w:val="20"/>
    </w:rPr>
  </w:style>
  <w:style w:type="character" w:styleId="WW8Num128z2">
    <w:name w:val="WW8Num128z2"/>
    <w:qFormat/>
    <w:rPr>
      <w:rFonts w:ascii="Times New Roman" w:hAnsi="Times New Roman" w:cs="Times New Roman"/>
      <w:b/>
      <w:i w:val="false"/>
    </w:rPr>
  </w:style>
  <w:style w:type="character" w:styleId="WW8Num128z3">
    <w:name w:val="WW8Num128z3"/>
    <w:qFormat/>
    <w:rPr/>
  </w:style>
  <w:style w:type="character" w:styleId="WW8Num129z0">
    <w:name w:val="WW8Num129z0"/>
    <w:qFormat/>
    <w:rPr/>
  </w:style>
  <w:style w:type="character" w:styleId="WW8Num130z0">
    <w:name w:val="WW8Num130z0"/>
    <w:qFormat/>
    <w:rPr>
      <w:rFonts w:ascii="Symbol" w:hAnsi="Symbol" w:cs="Symbol"/>
    </w:rPr>
  </w:style>
  <w:style w:type="character" w:styleId="WW8Num131z0">
    <w:name w:val="WW8Num131z0"/>
    <w:qFormat/>
    <w:rPr/>
  </w:style>
  <w:style w:type="character" w:styleId="WW8Num132z0">
    <w:name w:val="WW8Num132z0"/>
    <w:qFormat/>
    <w:rPr>
      <w:rFonts w:ascii="Symbol" w:hAnsi="Symbol" w:cs="Symbol"/>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3z0">
    <w:name w:val="WW8Num133z0"/>
    <w:qFormat/>
    <w:rPr/>
  </w:style>
  <w:style w:type="character" w:styleId="WW8Num135z0">
    <w:name w:val="WW8Num135z0"/>
    <w:qFormat/>
    <w:rPr/>
  </w:style>
  <w:style w:type="character" w:styleId="WW8Num136z0">
    <w:name w:val="WW8Num136z0"/>
    <w:qFormat/>
    <w:rPr/>
  </w:style>
  <w:style w:type="character" w:styleId="WW8Num137z0">
    <w:name w:val="WW8Num137z0"/>
    <w:qFormat/>
    <w:rPr>
      <w:rFonts w:ascii="Symbol" w:hAnsi="Symbol" w:cs="Symbol"/>
    </w:rPr>
  </w:style>
  <w:style w:type="character" w:styleId="WW8Num138z0">
    <w:name w:val="WW8Num138z0"/>
    <w:qFormat/>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sz w:val="22"/>
    </w:rPr>
  </w:style>
  <w:style w:type="character" w:styleId="WW8Num147z0">
    <w:name w:val="WW8Num147z0"/>
    <w:qFormat/>
    <w:rPr>
      <w:u w:val="none"/>
    </w:rPr>
  </w:style>
  <w:style w:type="character" w:styleId="WW8Num148z0">
    <w:name w:val="WW8Num148z0"/>
    <w:qFormat/>
    <w:rPr>
      <w:rFonts w:ascii="Symbol" w:hAnsi="Symbol" w:cs="Symbol"/>
    </w:rPr>
  </w:style>
  <w:style w:type="character" w:styleId="WW8Num149z0">
    <w:name w:val="WW8Num149z0"/>
    <w:qFormat/>
    <w:rPr/>
  </w:style>
  <w:style w:type="character" w:styleId="WW8Num150z0">
    <w:name w:val="WW8Num150z0"/>
    <w:qFormat/>
    <w:rPr>
      <w:rFonts w:ascii="Symbol" w:hAnsi="Symbol" w:cs="Symbol"/>
    </w:rPr>
  </w:style>
  <w:style w:type="character" w:styleId="WW8Num150z1">
    <w:name w:val="WW8Num150z1"/>
    <w:qFormat/>
    <w:rPr/>
  </w:style>
  <w:style w:type="character" w:styleId="WW8Num150z2">
    <w:name w:val="WW8Num150z2"/>
    <w:qFormat/>
    <w:rPr>
      <w:rFonts w:ascii="Wingdings" w:hAnsi="Wingdings" w:cs="Wingdings"/>
    </w:rPr>
  </w:style>
  <w:style w:type="character" w:styleId="WW8Num150z4">
    <w:name w:val="WW8Num150z4"/>
    <w:qFormat/>
    <w:rPr>
      <w:rFonts w:ascii="Courier New" w:hAnsi="Courier New" w:cs="Courier New"/>
    </w:rPr>
  </w:style>
  <w:style w:type="character" w:styleId="WW8Num152z0">
    <w:name w:val="WW8Num152z0"/>
    <w:qFormat/>
    <w:rPr>
      <w:rFonts w:ascii="Times New Roman" w:hAnsi="Times New Roman" w:cs="Times New Roman"/>
      <w:b/>
      <w:i w:val="false"/>
      <w:sz w:val="24"/>
    </w:rPr>
  </w:style>
  <w:style w:type="character" w:styleId="WW8Num152z3">
    <w:name w:val="WW8Num152z3"/>
    <w:qFormat/>
    <w:rPr>
      <w:rFonts w:ascii="Times New Roman" w:hAnsi="Times New Roman" w:cs="Times New Roman"/>
      <w:b w:val="false"/>
      <w:i w:val="false"/>
      <w:sz w:val="24"/>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5z0">
    <w:name w:val="WW8Num155z0"/>
    <w:qFormat/>
    <w:rPr/>
  </w:style>
  <w:style w:type="character" w:styleId="WW8Num156z0">
    <w:name w:val="WW8Num156z0"/>
    <w:qFormat/>
    <w:rPr>
      <w:rFonts w:ascii="Symbol" w:hAnsi="Symbol" w:cs="Symbol"/>
    </w:rPr>
  </w:style>
  <w:style w:type="character" w:styleId="WW8Num158z0">
    <w:name w:val="WW8Num158z0"/>
    <w:qFormat/>
    <w:rPr>
      <w:rFonts w:ascii="Symbol" w:hAnsi="Symbol" w:cs="Symbol"/>
      <w:color w:val="auto"/>
      <w:sz w:val="20"/>
    </w:rPr>
  </w:style>
  <w:style w:type="character" w:styleId="WW8Num159z0">
    <w:name w:val="WW8Num159z0"/>
    <w:qFormat/>
    <w:rPr/>
  </w:style>
  <w:style w:type="character" w:styleId="WW8Num160z0">
    <w:name w:val="WW8Num160z0"/>
    <w:qFormat/>
    <w:rPr/>
  </w:style>
  <w:style w:type="character" w:styleId="WW8Num160z1">
    <w:name w:val="WW8Num160z1"/>
    <w:qFormat/>
    <w:rPr>
      <w:rFonts w:ascii="Univers" w:hAnsi="Univers" w:cs="Univers"/>
      <w:b/>
      <w:i w:val="false"/>
      <w:sz w:val="24"/>
      <w:szCs w:val="24"/>
    </w:rPr>
  </w:style>
  <w:style w:type="character" w:styleId="WW8Num160z8">
    <w:name w:val="WW8Num160z8"/>
    <w:qFormat/>
    <w:rPr>
      <w:rFonts w:ascii="Univers" w:hAnsi="Univers" w:cs="Univers"/>
      <w:b w:val="false"/>
      <w:i w:val="false"/>
      <w:sz w:val="24"/>
      <w:szCs w:val="24"/>
    </w:rPr>
  </w:style>
  <w:style w:type="character" w:styleId="WW8Num161z0">
    <w:name w:val="WW8Num161z0"/>
    <w:qFormat/>
    <w:rPr/>
  </w:style>
  <w:style w:type="character" w:styleId="WW8Num163z0">
    <w:name w:val="WW8Num163z0"/>
    <w:qFormat/>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Symbol"/>
    </w:rPr>
  </w:style>
  <w:style w:type="character" w:styleId="WW8Num170z0">
    <w:name w:val="WW8Num170z0"/>
    <w:qFormat/>
    <w:rPr/>
  </w:style>
  <w:style w:type="character" w:styleId="WW8Num170z1">
    <w:name w:val="WW8Num170z1"/>
    <w:qFormat/>
    <w:rPr>
      <w:rFonts w:ascii="Courier New" w:hAnsi="Courier New" w:cs="Courier New"/>
    </w:rPr>
  </w:style>
  <w:style w:type="character" w:styleId="WW8Num170z2">
    <w:name w:val="WW8Num170z2"/>
    <w:qFormat/>
    <w:rPr>
      <w:rFonts w:ascii="Wingdings" w:hAnsi="Wingdings" w:cs="Wingdings"/>
    </w:rPr>
  </w:style>
  <w:style w:type="character" w:styleId="WW8Num170z3">
    <w:name w:val="WW8Num170z3"/>
    <w:qFormat/>
    <w:rPr>
      <w:rFonts w:ascii="Symbol" w:hAnsi="Symbol" w:cs="Symbol"/>
    </w:rPr>
  </w:style>
  <w:style w:type="character" w:styleId="WW8Num171z0">
    <w:name w:val="WW8Num171z0"/>
    <w:qFormat/>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style>
  <w:style w:type="character" w:styleId="WW8Num182z0">
    <w:name w:val="WW8Num182z0"/>
    <w:qFormat/>
    <w:rPr>
      <w:rFonts w:ascii="Symbol" w:hAnsi="Symbol" w:cs="Symbol"/>
      <w:color w:val="auto"/>
    </w:rPr>
  </w:style>
  <w:style w:type="character" w:styleId="WW8Num184z0">
    <w:name w:val="WW8Num184z0"/>
    <w:qFormat/>
    <w:rPr>
      <w:rFonts w:ascii="Symbol" w:hAnsi="Symbol" w:cs="Symbol"/>
      <w:color w:val="000000"/>
      <w:sz w:val="18"/>
      <w:szCs w:val="18"/>
    </w:rPr>
  </w:style>
  <w:style w:type="character" w:styleId="WW8Num185z0">
    <w:name w:val="WW8Num185z0"/>
    <w:qFormat/>
    <w:rPr>
      <w:rFonts w:ascii="Symbol" w:hAnsi="Symbol" w:cs="Symbol"/>
    </w:rPr>
  </w:style>
  <w:style w:type="character" w:styleId="WW8Num186z0">
    <w:name w:val="WW8Num186z0"/>
    <w:qFormat/>
    <w:rPr>
      <w:rFonts w:ascii="Marlett" w:hAnsi="Marlett" w:cs="Marlett"/>
    </w:rPr>
  </w:style>
  <w:style w:type="character" w:styleId="WW8Num187z0">
    <w:name w:val="WW8Num187z0"/>
    <w:qFormat/>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1z0">
    <w:name w:val="WW8Num191z0"/>
    <w:qFormat/>
    <w:rPr>
      <w:rFonts w:ascii="Times New Roman" w:hAnsi="Times New Roman" w:cs="Times New Roman"/>
      <w:b/>
      <w:i w:val="false"/>
      <w:sz w:val="24"/>
    </w:rPr>
  </w:style>
  <w:style w:type="character" w:styleId="WW8Num191z3">
    <w:name w:val="WW8Num191z3"/>
    <w:qFormat/>
    <w:rPr>
      <w:rFonts w:ascii="Times New Roman" w:hAnsi="Times New Roman" w:cs="Times New Roman"/>
      <w:b w:val="false"/>
      <w:i w:val="false"/>
      <w:sz w:val="24"/>
    </w:rPr>
  </w:style>
  <w:style w:type="character" w:styleId="WW8Num192z0">
    <w:name w:val="WW8Num192z0"/>
    <w:qFormat/>
    <w:rPr>
      <w:rFonts w:ascii="Symbol" w:hAnsi="Symbol" w:cs="Symbol"/>
      <w:sz w:val="22"/>
    </w:rPr>
  </w:style>
  <w:style w:type="character" w:styleId="WW8Num193z0">
    <w:name w:val="WW8Num193z0"/>
    <w:qFormat/>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6z1">
    <w:name w:val="WW8Num196z1"/>
    <w:qFormat/>
    <w:rPr>
      <w:rFonts w:ascii="Courier New" w:hAnsi="Courier New" w:cs="Courier New"/>
    </w:rPr>
  </w:style>
  <w:style w:type="character" w:styleId="WW8Num196z2">
    <w:name w:val="WW8Num196z2"/>
    <w:qFormat/>
    <w:rPr>
      <w:rFonts w:ascii="Wingdings" w:hAnsi="Wingdings" w:cs="Wingdings"/>
    </w:rPr>
  </w:style>
  <w:style w:type="character" w:styleId="WW8Num197z0">
    <w:name w:val="WW8Num197z0"/>
    <w:qFormat/>
    <w:rPr>
      <w:rFonts w:ascii="Symbol" w:hAnsi="Symbol" w:cs="Symbol"/>
    </w:rPr>
  </w:style>
  <w:style w:type="character" w:styleId="WW8Num199z0">
    <w:name w:val="WW8Num199z0"/>
    <w:qFormat/>
    <w:rPr>
      <w:rFonts w:ascii="Symbol" w:hAnsi="Symbol" w:cs="Symbol"/>
    </w:rPr>
  </w:style>
  <w:style w:type="character" w:styleId="WW8Num201z0">
    <w:name w:val="WW8Num201z0"/>
    <w:qFormat/>
    <w:rPr>
      <w:rFonts w:ascii="Symbol" w:hAnsi="Symbol" w:cs="Symbol"/>
      <w:color w:val="auto"/>
    </w:rPr>
  </w:style>
  <w:style w:type="character" w:styleId="WW8Num202z0">
    <w:name w:val="WW8Num202z0"/>
    <w:qFormat/>
    <w:rPr/>
  </w:style>
  <w:style w:type="character" w:styleId="WW8Num203z0">
    <w:name w:val="WW8Num203z0"/>
    <w:qFormat/>
    <w:rPr>
      <w:rFonts w:ascii="Symbol" w:hAnsi="Symbol" w:cs="Symbol"/>
    </w:rPr>
  </w:style>
  <w:style w:type="character" w:styleId="WW8Num204z0">
    <w:name w:val="WW8Num204z0"/>
    <w:qFormat/>
    <w:rPr>
      <w:rFonts w:ascii="Symbol" w:hAnsi="Symbol" w:cs="Symbol"/>
      <w:color w:val="auto"/>
    </w:rPr>
  </w:style>
  <w:style w:type="character" w:styleId="WW8Num207z0">
    <w:name w:val="WW8Num207z0"/>
    <w:qFormat/>
    <w:rPr>
      <w:rFonts w:ascii="Symbol" w:hAnsi="Symbol" w:cs="Symbol"/>
    </w:rPr>
  </w:style>
  <w:style w:type="character" w:styleId="WW8Num207z1">
    <w:name w:val="WW8Num207z1"/>
    <w:qFormat/>
    <w:rPr>
      <w:rFonts w:ascii="Courier New" w:hAnsi="Courier New" w:cs="Courier New"/>
    </w:rPr>
  </w:style>
  <w:style w:type="character" w:styleId="WW8Num207z2">
    <w:name w:val="WW8Num207z2"/>
    <w:qFormat/>
    <w:rPr>
      <w:rFonts w:ascii="Wingdings" w:hAnsi="Wingdings" w:cs="Wingdings"/>
    </w:rPr>
  </w:style>
  <w:style w:type="character" w:styleId="WW8Num208z0">
    <w:name w:val="WW8Num208z0"/>
    <w:qFormat/>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0z1">
    <w:name w:val="WW8Num210z1"/>
    <w:qFormat/>
    <w:rPr>
      <w:rFonts w:ascii="Courier New" w:hAnsi="Courier New" w:cs="Courier New"/>
    </w:rPr>
  </w:style>
  <w:style w:type="character" w:styleId="WW8Num210z2">
    <w:name w:val="WW8Num210z2"/>
    <w:qFormat/>
    <w:rPr>
      <w:rFonts w:ascii="Wingdings" w:hAnsi="Wingdings" w:cs="Wingdings"/>
    </w:rPr>
  </w:style>
  <w:style w:type="character" w:styleId="WW8Num211z0">
    <w:name w:val="WW8Num211z0"/>
    <w:qFormat/>
    <w:rPr>
      <w:rFonts w:ascii="Symbol" w:hAnsi="Symbol" w:cs="Symbol"/>
    </w:rPr>
  </w:style>
  <w:style w:type="character" w:styleId="WW8Num212z0">
    <w:name w:val="WW8Num212z0"/>
    <w:qFormat/>
    <w:rPr>
      <w:rFonts w:ascii="Times New Roman" w:hAnsi="Times New Roman" w:cs="Times New Roman"/>
      <w:b w:val="false"/>
      <w:i w:val="false"/>
      <w:sz w:val="24"/>
      <w:szCs w:val="24"/>
      <w:u w:val="none"/>
    </w:rPr>
  </w:style>
  <w:style w:type="character" w:styleId="WW8Num214z0">
    <w:name w:val="WW8Num214z0"/>
    <w:qFormat/>
    <w:rPr>
      <w:rFonts w:ascii="Symbol" w:hAnsi="Symbol" w:cs="Symbol"/>
    </w:rPr>
  </w:style>
  <w:style w:type="character" w:styleId="WW8Num215z0">
    <w:name w:val="WW8Num215z0"/>
    <w:qFormat/>
    <w:rPr>
      <w:rFonts w:ascii="Symbol" w:hAnsi="Symbol" w:cs="Symbol"/>
      <w:color w:val="000000"/>
      <w:sz w:val="18"/>
      <w:szCs w:val="18"/>
    </w:rPr>
  </w:style>
  <w:style w:type="character" w:styleId="WW8Num216z0">
    <w:name w:val="WW8Num216z0"/>
    <w:qFormat/>
    <w:rPr>
      <w:rFonts w:ascii="Symbol" w:hAnsi="Symbol" w:cs="Symbol"/>
    </w:rPr>
  </w:style>
  <w:style w:type="character" w:styleId="WW8Num217z0">
    <w:name w:val="WW8Num217z0"/>
    <w:qFormat/>
    <w:rPr>
      <w:b w:val="false"/>
      <w:i w:val="false"/>
      <w:u w:val="none"/>
    </w:rPr>
  </w:style>
  <w:style w:type="character" w:styleId="WW8Num218z0">
    <w:name w:val="WW8Num218z0"/>
    <w:qFormat/>
    <w:rPr>
      <w:rFonts w:ascii="Symbol" w:hAnsi="Symbol" w:cs="Symbol"/>
    </w:rPr>
  </w:style>
  <w:style w:type="character" w:styleId="WW8Num219z0">
    <w:name w:val="WW8Num219z0"/>
    <w:qFormat/>
    <w:rPr>
      <w:rFonts w:ascii="Times New Roman" w:hAnsi="Times New Roman" w:cs="Times New Roman"/>
      <w:b/>
      <w:i w:val="false"/>
      <w:sz w:val="24"/>
      <w:u w:val="none"/>
    </w:rPr>
  </w:style>
  <w:style w:type="character" w:styleId="WW8Num219z1">
    <w:name w:val="WW8Num219z1"/>
    <w:qFormat/>
    <w:rPr>
      <w:rFonts w:ascii="Times New Roman" w:hAnsi="Times New Roman" w:cs="Times New Roman"/>
      <w:b/>
      <w:i w:val="false"/>
      <w:sz w:val="24"/>
    </w:rPr>
  </w:style>
  <w:style w:type="character" w:styleId="WW8Num219z4">
    <w:name w:val="WW8Num219z4"/>
    <w:qFormat/>
    <w:rPr>
      <w:rFonts w:ascii="Times New Roman" w:hAnsi="Times New Roman" w:cs="Times New Roman"/>
      <w:b w:val="false"/>
      <w:i w:val="false"/>
      <w:sz w:val="24"/>
    </w:rPr>
  </w:style>
  <w:style w:type="character" w:styleId="WW8Num220z0">
    <w:name w:val="WW8Num220z0"/>
    <w:qFormat/>
    <w:rPr/>
  </w:style>
  <w:style w:type="character" w:styleId="WW8Num221z0">
    <w:name w:val="WW8Num221z0"/>
    <w:qFormat/>
    <w:rPr>
      <w:rFonts w:ascii="Symbol" w:hAnsi="Symbol" w:cs="Symbol"/>
    </w:rPr>
  </w:style>
  <w:style w:type="character" w:styleId="WW8Num221z1">
    <w:name w:val="WW8Num221z1"/>
    <w:qFormat/>
    <w:rPr>
      <w:rFonts w:ascii="Courier New" w:hAnsi="Courier New" w:cs="Courier New"/>
    </w:rPr>
  </w:style>
  <w:style w:type="character" w:styleId="WW8Num221z2">
    <w:name w:val="WW8Num221z2"/>
    <w:qFormat/>
    <w:rPr>
      <w:rFonts w:ascii="Wingdings" w:hAnsi="Wingdings" w:cs="Wingdings"/>
    </w:rPr>
  </w:style>
  <w:style w:type="character" w:styleId="WW8Num223z0">
    <w:name w:val="WW8Num223z0"/>
    <w:qFormat/>
    <w:rPr>
      <w:rFonts w:ascii="Symbol" w:hAnsi="Symbol" w:cs="Symbol"/>
    </w:rPr>
  </w:style>
  <w:style w:type="character" w:styleId="WW8Num224z0">
    <w:name w:val="WW8Num224z0"/>
    <w:qFormat/>
    <w:rPr/>
  </w:style>
  <w:style w:type="character" w:styleId="WW8Num225z0">
    <w:name w:val="WW8Num225z0"/>
    <w:qFormat/>
    <w:rPr/>
  </w:style>
  <w:style w:type="character" w:styleId="WW8Num226z0">
    <w:name w:val="WW8Num226z0"/>
    <w:qFormat/>
    <w:rPr>
      <w:rFonts w:ascii="Times New Roman" w:hAnsi="Times New Roman" w:cs="Times New Roman"/>
    </w:rPr>
  </w:style>
  <w:style w:type="character" w:styleId="WW8Num227z0">
    <w:name w:val="WW8Num227z0"/>
    <w:qFormat/>
    <w:rPr/>
  </w:style>
  <w:style w:type="character" w:styleId="WW8Num228z0">
    <w:name w:val="WW8Num228z0"/>
    <w:qFormat/>
    <w:rPr>
      <w:rFonts w:ascii="Symbol" w:hAnsi="Symbol" w:cs="Symbol"/>
    </w:rPr>
  </w:style>
  <w:style w:type="character" w:styleId="WW8Num230z0">
    <w:name w:val="WW8Num230z0"/>
    <w:qFormat/>
    <w:rPr>
      <w:rFonts w:ascii="Symbol" w:hAnsi="Symbol" w:cs="Symbol"/>
      <w:b w:val="false"/>
      <w:i w:val="false"/>
      <w:sz w:val="22"/>
    </w:rPr>
  </w:style>
  <w:style w:type="character" w:styleId="WW8Num230z1">
    <w:name w:val="WW8Num230z1"/>
    <w:qFormat/>
    <w:rPr>
      <w:rFonts w:ascii="Symbol" w:hAnsi="Symbol" w:cs="Symbol"/>
      <w:b/>
      <w:i w:val="false"/>
      <w:sz w:val="20"/>
    </w:rPr>
  </w:style>
  <w:style w:type="character" w:styleId="WW8Num230z2">
    <w:name w:val="WW8Num230z2"/>
    <w:qFormat/>
    <w:rPr>
      <w:rFonts w:ascii="Times New Roman" w:hAnsi="Times New Roman" w:cs="Times New Roman"/>
      <w:b/>
      <w:i w:val="false"/>
    </w:rPr>
  </w:style>
  <w:style w:type="character" w:styleId="WW8Num230z3">
    <w:name w:val="WW8Num230z3"/>
    <w:qFormat/>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b w:val="false"/>
      <w:i w:val="false"/>
    </w:rPr>
  </w:style>
  <w:style w:type="character" w:styleId="WW8Num234z0">
    <w:name w:val="WW8Num234z0"/>
    <w:qFormat/>
    <w:rPr>
      <w:rFonts w:ascii="Symbol" w:hAnsi="Symbol" w:cs="Symbol"/>
    </w:rPr>
  </w:style>
  <w:style w:type="character" w:styleId="WW8Num234z1">
    <w:name w:val="WW8Num234z1"/>
    <w:qFormat/>
    <w:rPr>
      <w:rFonts w:ascii="Courier New" w:hAnsi="Courier New" w:cs="Courier New"/>
    </w:rPr>
  </w:style>
  <w:style w:type="character" w:styleId="WW8Num234z2">
    <w:name w:val="WW8Num234z2"/>
    <w:qFormat/>
    <w:rPr>
      <w:rFonts w:ascii="Wingdings" w:hAnsi="Wingdings" w:cs="Wingdings"/>
    </w:rPr>
  </w:style>
  <w:style w:type="character" w:styleId="WW8Num235z0">
    <w:name w:val="WW8Num235z0"/>
    <w:qFormat/>
    <w:rPr>
      <w:rFonts w:ascii="Symbol" w:hAnsi="Symbol" w:cs="Symbol"/>
    </w:rPr>
  </w:style>
  <w:style w:type="character" w:styleId="WW8Num236z0">
    <w:name w:val="WW8Num236z0"/>
    <w:qFormat/>
    <w:rPr>
      <w:rFonts w:ascii="Times New Roman" w:hAnsi="Times New Roman" w:cs="Times New Roman"/>
      <w:b w:val="false"/>
      <w:i w:val="false"/>
      <w:sz w:val="24"/>
      <w:szCs w:val="24"/>
      <w:u w:val="none"/>
    </w:rPr>
  </w:style>
  <w:style w:type="character" w:styleId="WW8Num238z0">
    <w:name w:val="WW8Num238z0"/>
    <w:qFormat/>
    <w:rPr>
      <w:rFonts w:ascii="Symbol" w:hAnsi="Symbol" w:cs="Symbol"/>
    </w:rPr>
  </w:style>
  <w:style w:type="character" w:styleId="WW8Num239z0">
    <w:name w:val="WW8Num239z0"/>
    <w:qFormat/>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style>
  <w:style w:type="character" w:styleId="WW8Num243z0">
    <w:name w:val="WW8Num243z0"/>
    <w:qFormat/>
    <w:rPr/>
  </w:style>
  <w:style w:type="character" w:styleId="WW8Num244z0">
    <w:name w:val="WW8Num244z0"/>
    <w:qFormat/>
    <w:rPr>
      <w:rFonts w:ascii="Wingdings" w:hAnsi="Wingdings" w:cs="Wingdings"/>
    </w:rPr>
  </w:style>
  <w:style w:type="character" w:styleId="WW8Num244z3">
    <w:name w:val="WW8Num244z3"/>
    <w:qFormat/>
    <w:rPr>
      <w:rFonts w:ascii="Symbol" w:hAnsi="Symbol" w:cs="Symbol"/>
    </w:rPr>
  </w:style>
  <w:style w:type="character" w:styleId="WW8Num246z0">
    <w:name w:val="WW8Num246z0"/>
    <w:qFormat/>
    <w:rPr>
      <w:rFonts w:ascii="Marlett" w:hAnsi="Marlett" w:cs="Marlett"/>
      <w:b/>
      <w:i w:val="false"/>
    </w:rPr>
  </w:style>
  <w:style w:type="character" w:styleId="WW8Num248z0">
    <w:name w:val="WW8Num248z0"/>
    <w:qFormat/>
    <w:rPr>
      <w:rFonts w:ascii="Symbol" w:hAnsi="Symbol" w:cs="Symbol"/>
    </w:rPr>
  </w:style>
  <w:style w:type="character" w:styleId="WW8Num249z0">
    <w:name w:val="WW8Num249z0"/>
    <w:qFormat/>
    <w:rPr>
      <w:rFonts w:ascii="Wingdings" w:hAnsi="Wingdings" w:cs="Wingdings"/>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1z1">
    <w:name w:val="WW8Num251z1"/>
    <w:qFormat/>
    <w:rPr>
      <w:rFonts w:ascii="Courier New" w:hAnsi="Courier New" w:cs="Courier New"/>
    </w:rPr>
  </w:style>
  <w:style w:type="character" w:styleId="WW8Num251z2">
    <w:name w:val="WW8Num251z2"/>
    <w:qFormat/>
    <w:rPr>
      <w:rFonts w:ascii="Wingdings" w:hAnsi="Wingdings" w:cs="Wingdings"/>
    </w:rPr>
  </w:style>
  <w:style w:type="character" w:styleId="WW8Num252z0">
    <w:name w:val="WW8Num252z0"/>
    <w:qFormat/>
    <w:rPr>
      <w:rFonts w:ascii="Symbol" w:hAnsi="Symbol" w:cs="Symbol"/>
    </w:rPr>
  </w:style>
  <w:style w:type="character" w:styleId="WW8Num253z0">
    <w:name w:val="WW8Num253z0"/>
    <w:qFormat/>
    <w:rPr/>
  </w:style>
  <w:style w:type="character" w:styleId="WW8Num254z0">
    <w:name w:val="WW8Num254z0"/>
    <w:qFormat/>
    <w:rPr>
      <w:rFonts w:ascii="Symbol" w:hAnsi="Symbol" w:cs="Symbol"/>
      <w:color w:val="000000"/>
      <w:sz w:val="18"/>
      <w:szCs w:val="18"/>
    </w:rPr>
  </w:style>
  <w:style w:type="character" w:styleId="WW8Num255z0">
    <w:name w:val="WW8Num255z0"/>
    <w:qFormat/>
    <w:rPr>
      <w:rFonts w:ascii="Times New Roman" w:hAnsi="Times New Roman" w:cs="Times New Roman"/>
      <w:b/>
      <w:i w:val="false"/>
      <w:sz w:val="24"/>
      <w:u w:val="none"/>
    </w:rPr>
  </w:style>
  <w:style w:type="character" w:styleId="WW8Num255z1">
    <w:name w:val="WW8Num255z1"/>
    <w:qFormat/>
    <w:rPr>
      <w:rFonts w:ascii="Times New Roman" w:hAnsi="Times New Roman" w:cs="Times New Roman"/>
      <w:b/>
      <w:i w:val="false"/>
      <w:sz w:val="24"/>
    </w:rPr>
  </w:style>
  <w:style w:type="character" w:styleId="WW8Num255z4">
    <w:name w:val="WW8Num255z4"/>
    <w:qFormat/>
    <w:rPr>
      <w:rFonts w:ascii="Times New Roman" w:hAnsi="Times New Roman" w:cs="Times New Roman"/>
      <w:b w:val="false"/>
      <w:i w:val="false"/>
      <w:sz w:val="24"/>
    </w:rPr>
  </w:style>
  <w:style w:type="character" w:styleId="WW8Num256z0">
    <w:name w:val="WW8Num256z0"/>
    <w:qFormat/>
    <w:rPr>
      <w:rFonts w:ascii="Symbol" w:hAnsi="Symbol" w:cs="Symbol"/>
    </w:rPr>
  </w:style>
  <w:style w:type="character" w:styleId="WW8Num258z0">
    <w:name w:val="WW8Num258z0"/>
    <w:qFormat/>
    <w:rPr>
      <w:rFonts w:ascii="Symbol" w:hAnsi="Symbol" w:cs="Symbol"/>
      <w:color w:val="000000"/>
      <w:sz w:val="18"/>
      <w:szCs w:val="18"/>
    </w:rPr>
  </w:style>
  <w:style w:type="character" w:styleId="WW8Num259z0">
    <w:name w:val="WW8Num259z0"/>
    <w:qFormat/>
    <w:rPr/>
  </w:style>
  <w:style w:type="character" w:styleId="WW8Num260z0">
    <w:name w:val="WW8Num260z0"/>
    <w:qFormat/>
    <w:rPr>
      <w:rFonts w:ascii="Times New Roman" w:hAnsi="Times New Roman" w:cs="Times New Roman"/>
      <w:b/>
      <w:i w:val="false"/>
      <w:sz w:val="24"/>
    </w:rPr>
  </w:style>
  <w:style w:type="character" w:styleId="WW8Num260z1">
    <w:name w:val="WW8Num260z1"/>
    <w:qFormat/>
    <w:rPr/>
  </w:style>
  <w:style w:type="character" w:styleId="WW8Num262z0">
    <w:name w:val="WW8Num262z0"/>
    <w:qFormat/>
    <w:rPr>
      <w:rFonts w:ascii="Symbol" w:hAnsi="Symbol" w:cs="Symbol"/>
    </w:rPr>
  </w:style>
  <w:style w:type="character" w:styleId="WW8Num263z0">
    <w:name w:val="WW8Num263z0"/>
    <w:qFormat/>
    <w:rPr/>
  </w:style>
  <w:style w:type="character" w:styleId="WW8Num265z0">
    <w:name w:val="WW8Num265z0"/>
    <w:qFormat/>
    <w:rPr>
      <w:rFonts w:ascii="Symbol" w:hAnsi="Symbol" w:cs="Symbol"/>
    </w:rPr>
  </w:style>
  <w:style w:type="character" w:styleId="WW8Num266z0">
    <w:name w:val="WW8Num266z0"/>
    <w:qFormat/>
    <w:rPr/>
  </w:style>
  <w:style w:type="character" w:styleId="WW8Num268z0">
    <w:name w:val="WW8Num268z0"/>
    <w:qFormat/>
    <w:rPr/>
  </w:style>
  <w:style w:type="character" w:styleId="WW8Num269z0">
    <w:name w:val="WW8Num269z0"/>
    <w:qFormat/>
    <w:rPr>
      <w:rFonts w:ascii="Symbol" w:hAnsi="Symbol" w:cs="Symbol"/>
    </w:rPr>
  </w:style>
  <w:style w:type="character" w:styleId="WW8Num270z1">
    <w:name w:val="WW8Num270z1"/>
    <w:qFormat/>
    <w:rPr>
      <w:rFonts w:ascii="Courier New" w:hAnsi="Courier New" w:cs="Courier New"/>
    </w:rPr>
  </w:style>
  <w:style w:type="character" w:styleId="WW8Num270z2">
    <w:name w:val="WW8Num270z2"/>
    <w:qFormat/>
    <w:rPr>
      <w:rFonts w:ascii="Wingdings" w:hAnsi="Wingdings" w:cs="Wingdings"/>
    </w:rPr>
  </w:style>
  <w:style w:type="character" w:styleId="WW8Num270z3">
    <w:name w:val="WW8Num270z3"/>
    <w:qFormat/>
    <w:rPr>
      <w:rFonts w:ascii="Symbol" w:hAnsi="Symbol" w:cs="Symbol"/>
    </w:rPr>
  </w:style>
  <w:style w:type="character" w:styleId="WW8Num271z0">
    <w:name w:val="WW8Num271z0"/>
    <w:qFormat/>
    <w:rPr/>
  </w:style>
  <w:style w:type="character" w:styleId="WW8Num272z0">
    <w:name w:val="WW8Num272z0"/>
    <w:qFormat/>
    <w:rPr/>
  </w:style>
  <w:style w:type="character" w:styleId="WW8Num273z0">
    <w:name w:val="WW8Num273z0"/>
    <w:qFormat/>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style>
  <w:style w:type="character" w:styleId="WW8Num277z0">
    <w:name w:val="WW8Num277z0"/>
    <w:qFormat/>
    <w:rPr/>
  </w:style>
  <w:style w:type="character" w:styleId="WW8Num278z0">
    <w:name w:val="WW8Num278z0"/>
    <w:qFormat/>
    <w:rPr>
      <w:rFonts w:ascii="Wingdings" w:hAnsi="Wingdings" w:cs="Wingdings"/>
      <w:sz w:val="16"/>
    </w:rPr>
  </w:style>
  <w:style w:type="character" w:styleId="WW8Num279z0">
    <w:name w:val="WW8Num279z0"/>
    <w:qFormat/>
    <w:rPr>
      <w:rFonts w:ascii="Symbol" w:hAnsi="Symbol" w:cs="Symbol"/>
    </w:rPr>
  </w:style>
  <w:style w:type="character" w:styleId="WW8Num281z0">
    <w:name w:val="WW8Num281z0"/>
    <w:qFormat/>
    <w:rPr/>
  </w:style>
  <w:style w:type="character" w:styleId="WW8Num282z0">
    <w:name w:val="WW8Num282z0"/>
    <w:qFormat/>
    <w:rPr>
      <w:rFonts w:ascii="Symbol" w:hAnsi="Symbol" w:cs="Symbol"/>
    </w:rPr>
  </w:style>
  <w:style w:type="character" w:styleId="WW8Num284z0">
    <w:name w:val="WW8Num284z0"/>
    <w:qFormat/>
    <w:rPr/>
  </w:style>
  <w:style w:type="character" w:styleId="WW8Num285z0">
    <w:name w:val="WW8Num285z0"/>
    <w:qFormat/>
    <w:rPr>
      <w:rFonts w:ascii="Times New Roman" w:hAnsi="Times New Roman" w:cs="Times New Roman"/>
      <w:b w:val="false"/>
      <w:i w:val="false"/>
      <w:sz w:val="24"/>
      <w:szCs w:val="24"/>
      <w:u w:val="none"/>
    </w:rPr>
  </w:style>
  <w:style w:type="character" w:styleId="WW8Num286z0">
    <w:name w:val="WW8Num286z0"/>
    <w:qFormat/>
    <w:rPr/>
  </w:style>
  <w:style w:type="character" w:styleId="WW8Num287z0">
    <w:name w:val="WW8Num287z0"/>
    <w:qFormat/>
    <w:rPr>
      <w:rFonts w:ascii="Symbol" w:hAnsi="Symbol" w:cs="Symbol"/>
      <w:color w:val="auto"/>
      <w:sz w:val="20"/>
    </w:rPr>
  </w:style>
  <w:style w:type="character" w:styleId="WW8Num288z0">
    <w:name w:val="WW8Num288z0"/>
    <w:qFormat/>
    <w:rPr>
      <w:rFonts w:ascii="Symbol" w:hAnsi="Symbol" w:cs="Symbol"/>
    </w:rPr>
  </w:style>
  <w:style w:type="character" w:styleId="WW8Num288z1">
    <w:name w:val="WW8Num288z1"/>
    <w:qFormat/>
    <w:rPr>
      <w:rFonts w:ascii="Courier New" w:hAnsi="Courier New" w:cs="Courier New"/>
    </w:rPr>
  </w:style>
  <w:style w:type="character" w:styleId="WW8Num288z2">
    <w:name w:val="WW8Num288z2"/>
    <w:qFormat/>
    <w:rPr>
      <w:rFonts w:ascii="Wingdings" w:hAnsi="Wingdings" w:cs="Wingdings"/>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style>
  <w:style w:type="character" w:styleId="WW8Num296z0">
    <w:name w:val="WW8Num296z0"/>
    <w:qFormat/>
    <w:rPr/>
  </w:style>
  <w:style w:type="character" w:styleId="WW8Num297z0">
    <w:name w:val="WW8Num297z0"/>
    <w:qFormat/>
    <w:rPr>
      <w:rFonts w:ascii="Symbol" w:hAnsi="Symbol" w:cs="Symbol"/>
    </w:rPr>
  </w:style>
  <w:style w:type="character" w:styleId="WW8Num298z0">
    <w:name w:val="WW8Num298z0"/>
    <w:qFormat/>
    <w:rPr/>
  </w:style>
  <w:style w:type="character" w:styleId="WW8Num299z0">
    <w:name w:val="WW8Num299z0"/>
    <w:qFormat/>
    <w:rPr>
      <w:rFonts w:ascii="Symbol" w:hAnsi="Symbol" w:cs="Symbol"/>
    </w:rPr>
  </w:style>
  <w:style w:type="character" w:styleId="WW8Num299z1">
    <w:name w:val="WW8Num299z1"/>
    <w:qFormat/>
    <w:rPr>
      <w:rFonts w:ascii="Courier New" w:hAnsi="Courier New" w:cs="Courier New"/>
    </w:rPr>
  </w:style>
  <w:style w:type="character" w:styleId="WW8Num299z2">
    <w:name w:val="WW8Num299z2"/>
    <w:qFormat/>
    <w:rPr>
      <w:rFonts w:ascii="Wingdings" w:hAnsi="Wingdings" w:cs="Wingdings"/>
    </w:rPr>
  </w:style>
  <w:style w:type="character" w:styleId="WW8Num300z0">
    <w:name w:val="WW8Num300z0"/>
    <w:qFormat/>
    <w:rPr>
      <w:rFonts w:ascii="Monotype Sorts" w:hAnsi="Monotype Sorts" w:cs="Monotype Sorts"/>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5z0">
    <w:name w:val="WW8Num305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style>
  <w:style w:type="character" w:styleId="WW8Num309z0">
    <w:name w:val="WW8Num309z0"/>
    <w:qFormat/>
    <w:rPr>
      <w:rFonts w:ascii="Times New Roman" w:hAnsi="Times New Roman" w:cs="Times New Roman"/>
      <w:b w:val="false"/>
      <w:i w:val="false"/>
      <w:sz w:val="24"/>
      <w:szCs w:val="24"/>
      <w:u w:val="none"/>
    </w:rPr>
  </w:style>
  <w:style w:type="character" w:styleId="WW8Num311z0">
    <w:name w:val="WW8Num311z0"/>
    <w:qFormat/>
    <w:rPr>
      <w:rFonts w:ascii="Symbol" w:hAnsi="Symbol" w:cs="Symbol"/>
      <w:sz w:val="22"/>
    </w:rPr>
  </w:style>
  <w:style w:type="character" w:styleId="WW8Num312z0">
    <w:name w:val="WW8Num312z0"/>
    <w:qFormat/>
    <w:rPr/>
  </w:style>
  <w:style w:type="character" w:styleId="WW8Num313z0">
    <w:name w:val="WW8Num313z0"/>
    <w:qFormat/>
    <w:rPr/>
  </w:style>
  <w:style w:type="character" w:styleId="WW8Num314z0">
    <w:name w:val="WW8Num314z0"/>
    <w:qFormat/>
    <w:rPr>
      <w:b w:val="false"/>
      <w:i w:val="false"/>
      <w:u w:val="none"/>
    </w:rPr>
  </w:style>
  <w:style w:type="character" w:styleId="WW8Num315z0">
    <w:name w:val="WW8Num315z0"/>
    <w:qFormat/>
    <w:rPr>
      <w:rFonts w:ascii="Symbol" w:hAnsi="Symbol" w:cs="Symbol"/>
      <w:color w:val="auto"/>
      <w:sz w:val="18"/>
    </w:rPr>
  </w:style>
  <w:style w:type="character" w:styleId="WW8Num318z0">
    <w:name w:val="WW8Num318z0"/>
    <w:qFormat/>
    <w:rPr>
      <w:rFonts w:ascii="Symbol" w:hAnsi="Symbol" w:cs="Symbol"/>
      <w:sz w:val="22"/>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0z1">
    <w:name w:val="WW8Num320z1"/>
    <w:qFormat/>
    <w:rPr>
      <w:rFonts w:ascii="Courier New" w:hAnsi="Courier New" w:cs="Courier New"/>
    </w:rPr>
  </w:style>
  <w:style w:type="character" w:styleId="WW8Num320z2">
    <w:name w:val="WW8Num320z2"/>
    <w:qFormat/>
    <w:rPr>
      <w:rFonts w:ascii="Wingdings" w:hAnsi="Wingdings" w:cs="Wingdings"/>
    </w:rPr>
  </w:style>
  <w:style w:type="character" w:styleId="WW8Num321z0">
    <w:name w:val="WW8Num321z0"/>
    <w:qFormat/>
    <w:rPr>
      <w:rFonts w:ascii="Symbol" w:hAnsi="Symbol" w:cs="Symbol"/>
      <w:color w:val="000000"/>
      <w:sz w:val="18"/>
      <w:szCs w:val="18"/>
    </w:rPr>
  </w:style>
  <w:style w:type="character" w:styleId="WW8Num322z0">
    <w:name w:val="WW8Num322z0"/>
    <w:qFormat/>
    <w:rPr>
      <w:rFonts w:ascii="Symbol" w:hAnsi="Symbol" w:cs="Symbol"/>
    </w:rPr>
  </w:style>
  <w:style w:type="character" w:styleId="WW8Num323z0">
    <w:name w:val="WW8Num323z0"/>
    <w:qFormat/>
    <w:rPr/>
  </w:style>
  <w:style w:type="character" w:styleId="WW8Num324z0">
    <w:name w:val="WW8Num324z0"/>
    <w:qFormat/>
    <w:rPr>
      <w:rFonts w:ascii="Symbol" w:hAnsi="Symbol" w:cs="Symbol"/>
    </w:rPr>
  </w:style>
  <w:style w:type="character" w:styleId="WW8Num325z0">
    <w:name w:val="WW8Num325z0"/>
    <w:qFormat/>
    <w:rPr>
      <w:rFonts w:ascii="Times New Roman" w:hAnsi="Times New Roman" w:cs="Times New Roman"/>
    </w:rPr>
  </w:style>
  <w:style w:type="character" w:styleId="WW8Num326z0">
    <w:name w:val="WW8Num326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style>
  <w:style w:type="character" w:styleId="WW8Num330z0">
    <w:name w:val="WW8Num330z0"/>
    <w:qFormat/>
    <w:rPr>
      <w:rFonts w:ascii="Times New Roman" w:hAnsi="Times New Roman" w:cs="Times New Roman"/>
      <w:b/>
      <w:i w:val="false"/>
      <w:sz w:val="24"/>
      <w:szCs w:val="24"/>
      <w:u w:val="none"/>
    </w:rPr>
  </w:style>
  <w:style w:type="character" w:styleId="WW8Num330z1">
    <w:name w:val="WW8Num330z1"/>
    <w:qFormat/>
    <w:rPr>
      <w:rFonts w:ascii="Times New Roman" w:hAnsi="Times New Roman" w:cs="Times New Roman"/>
      <w:b/>
      <w:i w:val="false"/>
      <w:sz w:val="24"/>
      <w:szCs w:val="24"/>
    </w:rPr>
  </w:style>
  <w:style w:type="character" w:styleId="WW8Num330z4">
    <w:name w:val="WW8Num330z4"/>
    <w:qFormat/>
    <w:rPr>
      <w:rFonts w:ascii="Times New Roman" w:hAnsi="Times New Roman" w:cs="Times New Roman"/>
      <w:b w:val="false"/>
      <w:i w:val="false"/>
      <w:sz w:val="24"/>
      <w:szCs w:val="24"/>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2z1">
    <w:name w:val="WW8Num332z1"/>
    <w:qFormat/>
    <w:rPr>
      <w:rFonts w:ascii="Courier New" w:hAnsi="Courier New" w:cs="Courier New"/>
    </w:rPr>
  </w:style>
  <w:style w:type="character" w:styleId="WW8Num332z2">
    <w:name w:val="WW8Num332z2"/>
    <w:qFormat/>
    <w:rPr>
      <w:rFonts w:ascii="Wingdings" w:hAnsi="Wingdings" w:cs="Wingdings"/>
    </w:rPr>
  </w:style>
  <w:style w:type="character" w:styleId="WW8Num334z0">
    <w:name w:val="WW8Num334z0"/>
    <w:qFormat/>
    <w:rPr>
      <w:rFonts w:ascii="Symbol" w:hAnsi="Symbol" w:cs="Symbol"/>
    </w:rPr>
  </w:style>
  <w:style w:type="character" w:styleId="WW8Num335z0">
    <w:name w:val="WW8Num335z0"/>
    <w:qFormat/>
    <w:rPr/>
  </w:style>
  <w:style w:type="character" w:styleId="WW8Num336z0">
    <w:name w:val="WW8Num336z0"/>
    <w:qFormat/>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Times New Roman" w:hAnsi="Times New Roman" w:cs="Times New Roman"/>
    </w:rPr>
  </w:style>
  <w:style w:type="character" w:styleId="WW8Num340z0">
    <w:name w:val="WW8Num340z0"/>
    <w:qFormat/>
    <w:rPr>
      <w:rFonts w:ascii="Symbol" w:hAnsi="Symbol" w:cs="Symbol"/>
    </w:rPr>
  </w:style>
  <w:style w:type="character" w:styleId="WW8Num341z0">
    <w:name w:val="WW8Num341z0"/>
    <w:qFormat/>
    <w:rPr/>
  </w:style>
  <w:style w:type="character" w:styleId="WW8Num342z0">
    <w:name w:val="WW8Num342z0"/>
    <w:qFormat/>
    <w:rPr>
      <w:rFonts w:ascii="Symbol" w:hAnsi="Symbol" w:cs="Symbol"/>
    </w:rPr>
  </w:style>
  <w:style w:type="character" w:styleId="WW8Num343z0">
    <w:name w:val="WW8Num343z0"/>
    <w:qFormat/>
    <w:rPr>
      <w:b w:val="false"/>
      <w:i w:val="false"/>
      <w:u w:val="none"/>
    </w:rPr>
  </w:style>
  <w:style w:type="character" w:styleId="WW8Num344z0">
    <w:name w:val="WW8Num344z0"/>
    <w:qFormat/>
    <w:rPr>
      <w:rFonts w:ascii="Symbol" w:hAnsi="Symbol" w:cs="Symbol"/>
      <w:color w:val="auto"/>
      <w:sz w:val="20"/>
    </w:rPr>
  </w:style>
  <w:style w:type="character" w:styleId="WW8Num345z0">
    <w:name w:val="WW8Num345z0"/>
    <w:qFormat/>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9z0">
    <w:name w:val="WW8Num349z0"/>
    <w:qFormat/>
    <w:rPr>
      <w:b w:val="false"/>
      <w:i w:val="false"/>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color w:val="auto"/>
      <w:sz w:val="20"/>
    </w:rPr>
  </w:style>
  <w:style w:type="character" w:styleId="WW8Num353z0">
    <w:name w:val="WW8Num353z0"/>
    <w:qFormat/>
    <w:rPr>
      <w:rFonts w:ascii="Symbol" w:hAnsi="Symbol" w:cs="Symbol"/>
    </w:rPr>
  </w:style>
  <w:style w:type="character" w:styleId="WW8Num353z1">
    <w:name w:val="WW8Num353z1"/>
    <w:qFormat/>
    <w:rPr>
      <w:rFonts w:ascii="Courier New" w:hAnsi="Courier New" w:cs="Courier New"/>
    </w:rPr>
  </w:style>
  <w:style w:type="character" w:styleId="WW8Num353z2">
    <w:name w:val="WW8Num353z2"/>
    <w:qFormat/>
    <w:rPr>
      <w:rFonts w:ascii="Wingdings" w:hAnsi="Wingdings" w:cs="Wingdings"/>
    </w:rPr>
  </w:style>
  <w:style w:type="character" w:styleId="WW8Num354z0">
    <w:name w:val="WW8Num354z0"/>
    <w:qFormat/>
    <w:rPr/>
  </w:style>
  <w:style w:type="character" w:styleId="WW8Num355z0">
    <w:name w:val="WW8Num355z0"/>
    <w:qFormat/>
    <w:rPr>
      <w:rFonts w:ascii="Symbol" w:hAnsi="Symbol" w:cs="Symbol"/>
    </w:rPr>
  </w:style>
  <w:style w:type="character" w:styleId="WW8Num356z0">
    <w:name w:val="WW8Num356z0"/>
    <w:qFormat/>
    <w:rPr>
      <w:rFonts w:ascii="Symbol" w:hAnsi="Symbol" w:cs="Symbol"/>
      <w:color w:val="000000"/>
      <w:sz w:val="18"/>
      <w:szCs w:val="18"/>
    </w:rPr>
  </w:style>
  <w:style w:type="character" w:styleId="WW8Num357z0">
    <w:name w:val="WW8Num357z0"/>
    <w:qFormat/>
    <w:rPr/>
  </w:style>
  <w:style w:type="character" w:styleId="WW8Num358z0">
    <w:name w:val="WW8Num358z0"/>
    <w:qFormat/>
    <w:rPr>
      <w:rFonts w:ascii="Symbol" w:hAnsi="Symbol" w:cs="Symbol"/>
    </w:rPr>
  </w:style>
  <w:style w:type="character" w:styleId="WW8Num359z0">
    <w:name w:val="WW8Num359z0"/>
    <w:qFormat/>
    <w:rPr>
      <w:rFonts w:ascii="Courier" w:hAnsi="Courier" w:cs="Courier"/>
      <w:b w:val="false"/>
      <w:i w:val="false"/>
      <w:sz w:val="24"/>
      <w:szCs w:val="24"/>
    </w:rPr>
  </w:style>
  <w:style w:type="character" w:styleId="WW8Num359z1">
    <w:name w:val="WW8Num359z1"/>
    <w:qFormat/>
    <w:rPr>
      <w:rFonts w:ascii="Times New Roman" w:hAnsi="Times New Roman" w:cs="Times New Roman"/>
      <w:b/>
      <w:i w:val="false"/>
      <w:sz w:val="24"/>
      <w:szCs w:val="24"/>
    </w:rPr>
  </w:style>
  <w:style w:type="character" w:styleId="WW8Num360z0">
    <w:name w:val="WW8Num360z0"/>
    <w:qFormat/>
    <w:rPr>
      <w:rFonts w:ascii="Symbol" w:hAnsi="Symbol" w:cs="Symbol"/>
    </w:rPr>
  </w:style>
  <w:style w:type="character" w:styleId="WW8Num361z0">
    <w:name w:val="WW8Num361z0"/>
    <w:qFormat/>
    <w:rPr>
      <w:u w:val="none"/>
    </w:rPr>
  </w:style>
  <w:style w:type="character" w:styleId="WW8Num362z0">
    <w:name w:val="WW8Num362z0"/>
    <w:qFormat/>
    <w:rPr>
      <w:rFonts w:ascii="Symbol" w:hAnsi="Symbol" w:cs="Symbol"/>
    </w:rPr>
  </w:style>
  <w:style w:type="character" w:styleId="WW8Num363z0">
    <w:name w:val="WW8Num363z0"/>
    <w:qFormat/>
    <w:rPr>
      <w:rFonts w:ascii="Times New Roman" w:hAnsi="Times New Roman" w:cs="Times New Roman"/>
      <w:b/>
      <w:i w:val="false"/>
      <w:sz w:val="24"/>
      <w:szCs w:val="24"/>
      <w:u w:val="none"/>
    </w:rPr>
  </w:style>
  <w:style w:type="character" w:styleId="WW8Num363z1">
    <w:name w:val="WW8Num363z1"/>
    <w:qFormat/>
    <w:rPr>
      <w:rFonts w:ascii="Times New Roman" w:hAnsi="Times New Roman" w:cs="Times New Roman"/>
      <w:b/>
      <w:i w:val="false"/>
      <w:sz w:val="24"/>
      <w:szCs w:val="24"/>
    </w:rPr>
  </w:style>
  <w:style w:type="character" w:styleId="WW8Num363z4">
    <w:name w:val="WW8Num363z4"/>
    <w:qFormat/>
    <w:rPr>
      <w:rFonts w:ascii="Times New Roman" w:hAnsi="Times New Roman" w:cs="Times New Roman"/>
      <w:b w:val="false"/>
      <w:i w:val="false"/>
      <w:sz w:val="24"/>
      <w:szCs w:val="24"/>
    </w:rPr>
  </w:style>
  <w:style w:type="character" w:styleId="WW8Num364z0">
    <w:name w:val="WW8Num364z0"/>
    <w:qFormat/>
    <w:rPr/>
  </w:style>
  <w:style w:type="character" w:styleId="WW8Num365z0">
    <w:name w:val="WW8Num365z0"/>
    <w:qFormat/>
    <w:rPr>
      <w:rFonts w:ascii="Symbol" w:hAnsi="Symbol" w:cs="Symbol"/>
      <w:color w:val="000000"/>
      <w:sz w:val="18"/>
      <w:szCs w:val="18"/>
    </w:rPr>
  </w:style>
  <w:style w:type="character" w:styleId="WW8Num366z0">
    <w:name w:val="WW8Num366z0"/>
    <w:qFormat/>
    <w:rPr>
      <w:rFonts w:ascii="Symbol" w:hAnsi="Symbol" w:cs="Symbol"/>
    </w:rPr>
  </w:style>
  <w:style w:type="character" w:styleId="WW8Num368z0">
    <w:name w:val="WW8Num368z0"/>
    <w:qFormat/>
    <w:rPr/>
  </w:style>
  <w:style w:type="character" w:styleId="WW8Num369z0">
    <w:name w:val="WW8Num369z0"/>
    <w:qFormat/>
    <w:rPr/>
  </w:style>
  <w:style w:type="character" w:styleId="WW8Num370z0">
    <w:name w:val="WW8Num370z0"/>
    <w:qFormat/>
    <w:rPr>
      <w:rFonts w:ascii="Times New Roman" w:hAnsi="Times New Roman" w:cs="Times New Roman"/>
      <w:b/>
      <w:i w:val="false"/>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2z1">
    <w:name w:val="WW8Num372z1"/>
    <w:qFormat/>
    <w:rPr>
      <w:rFonts w:ascii="Courier New" w:hAnsi="Courier New" w:cs="Courier New"/>
    </w:rPr>
  </w:style>
  <w:style w:type="character" w:styleId="WW8Num372z2">
    <w:name w:val="WW8Num372z2"/>
    <w:qFormat/>
    <w:rPr>
      <w:rFonts w:ascii="Wingdings" w:hAnsi="Wingdings" w:cs="Wingdings"/>
    </w:rPr>
  </w:style>
  <w:style w:type="character" w:styleId="WW8Num373z0">
    <w:name w:val="WW8Num373z0"/>
    <w:qFormat/>
    <w:rPr>
      <w:rFonts w:ascii="Symbol" w:hAnsi="Symbol" w:cs="Symbol"/>
    </w:rPr>
  </w:style>
  <w:style w:type="character" w:styleId="WW8Num374z0">
    <w:name w:val="WW8Num374z0"/>
    <w:qFormat/>
    <w:rPr>
      <w:rFonts w:ascii="Times New Roman" w:hAnsi="Times New Roman" w:cs="Times New Roman"/>
      <w:b/>
      <w:i w:val="false"/>
      <w:sz w:val="24"/>
      <w:szCs w:val="24"/>
      <w:u w:val="none"/>
    </w:rPr>
  </w:style>
  <w:style w:type="character" w:styleId="WW8Num374z1">
    <w:name w:val="WW8Num374z1"/>
    <w:qFormat/>
    <w:rPr>
      <w:rFonts w:ascii="Times New Roman" w:hAnsi="Times New Roman" w:cs="Times New Roman"/>
      <w:b/>
      <w:i w:val="false"/>
      <w:sz w:val="24"/>
      <w:szCs w:val="24"/>
    </w:rPr>
  </w:style>
  <w:style w:type="character" w:styleId="WW8Num374z4">
    <w:name w:val="WW8Num374z4"/>
    <w:qFormat/>
    <w:rPr>
      <w:rFonts w:ascii="Times New Roman" w:hAnsi="Times New Roman" w:cs="Times New Roman"/>
      <w:b w:val="false"/>
      <w:i w:val="false"/>
      <w:sz w:val="24"/>
      <w:szCs w:val="24"/>
    </w:rPr>
  </w:style>
  <w:style w:type="character" w:styleId="WW8Num375z0">
    <w:name w:val="WW8Num375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style>
  <w:style w:type="character" w:styleId="WW8Num383z0">
    <w:name w:val="WW8Num383z0"/>
    <w:qFormat/>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6z1">
    <w:name w:val="WW8Num386z1"/>
    <w:qFormat/>
    <w:rPr>
      <w:rFonts w:ascii="Courier New" w:hAnsi="Courier New" w:cs="Courier New"/>
    </w:rPr>
  </w:style>
  <w:style w:type="character" w:styleId="WW8Num386z2">
    <w:name w:val="WW8Num386z2"/>
    <w:qFormat/>
    <w:rPr>
      <w:rFonts w:ascii="Wingdings" w:hAnsi="Wingdings" w:cs="Wingdings"/>
    </w:rPr>
  </w:style>
  <w:style w:type="character" w:styleId="WW8Num387z0">
    <w:name w:val="WW8Num387z0"/>
    <w:qFormat/>
    <w:rPr/>
  </w:style>
  <w:style w:type="character" w:styleId="WW8Num388z0">
    <w:name w:val="WW8Num388z0"/>
    <w:qFormat/>
    <w:rPr>
      <w:rFonts w:ascii="Wingdings" w:hAnsi="Wingdings" w:cs="Wingdings"/>
    </w:rPr>
  </w:style>
  <w:style w:type="character" w:styleId="WW8Num389z0">
    <w:name w:val="WW8Num389z0"/>
    <w:qFormat/>
    <w:rPr/>
  </w:style>
  <w:style w:type="character" w:styleId="WW8Num390z0">
    <w:name w:val="WW8Num390z0"/>
    <w:qFormat/>
    <w:rPr>
      <w:rFonts w:ascii="Symbol" w:hAnsi="Symbol" w:cs="Symbol"/>
    </w:rPr>
  </w:style>
  <w:style w:type="character" w:styleId="WW8Num390z1">
    <w:name w:val="WW8Num390z1"/>
    <w:qFormat/>
    <w:rPr>
      <w:rFonts w:ascii="Courier New" w:hAnsi="Courier New" w:cs="Courier New"/>
    </w:rPr>
  </w:style>
  <w:style w:type="character" w:styleId="WW8Num390z2">
    <w:name w:val="WW8Num390z2"/>
    <w:qFormat/>
    <w:rPr>
      <w:rFonts w:ascii="Wingdings" w:hAnsi="Wingdings" w:cs="Wingdings"/>
    </w:rPr>
  </w:style>
  <w:style w:type="character" w:styleId="WW8Num391z0">
    <w:name w:val="WW8Num391z0"/>
    <w:qFormat/>
    <w:rPr>
      <w:rFonts w:ascii="Symbol" w:hAnsi="Symbol" w:cs="Symbol"/>
    </w:rPr>
  </w:style>
  <w:style w:type="character" w:styleId="WW8Num392z0">
    <w:name w:val="WW8Num392z0"/>
    <w:qFormat/>
    <w:rPr>
      <w:rFonts w:ascii="Symbol" w:hAnsi="Symbol" w:cs="Symbol"/>
      <w:color w:val="auto"/>
    </w:rPr>
  </w:style>
  <w:style w:type="character" w:styleId="WW8Num393z0">
    <w:name w:val="WW8Num393z0"/>
    <w:qFormat/>
    <w:rPr/>
  </w:style>
  <w:style w:type="character" w:styleId="WW8Num394z0">
    <w:name w:val="WW8Num394z0"/>
    <w:qFormat/>
    <w:rPr>
      <w:rFonts w:ascii="Wingdings" w:hAnsi="Wingdings" w:cs="Wingdings"/>
    </w:rPr>
  </w:style>
  <w:style w:type="character" w:styleId="WW8Num396z0">
    <w:name w:val="WW8Num396z0"/>
    <w:qFormat/>
    <w:rPr>
      <w:rFonts w:ascii="Symbol" w:hAnsi="Symbol" w:cs="Symbol"/>
    </w:rPr>
  </w:style>
  <w:style w:type="character" w:styleId="WW8Num398z0">
    <w:name w:val="WW8Num398z0"/>
    <w:qFormat/>
    <w:rPr>
      <w:rFonts w:ascii="Symbol" w:hAnsi="Symbol" w:cs="Symbol"/>
      <w:color w:val="auto"/>
    </w:rPr>
  </w:style>
  <w:style w:type="character" w:styleId="WW8Num399z0">
    <w:name w:val="WW8Num399z0"/>
    <w:qFormat/>
    <w:rPr/>
  </w:style>
  <w:style w:type="character" w:styleId="WW8Num401z0">
    <w:name w:val="WW8Num401z0"/>
    <w:qFormat/>
    <w:rPr/>
  </w:style>
  <w:style w:type="character" w:styleId="WW8Num402z0">
    <w:name w:val="WW8Num402z0"/>
    <w:qFormat/>
    <w:rPr>
      <w:rFonts w:ascii="Times New Roman" w:hAnsi="Times New Roman" w:eastAsia="Times New Roman" w:cs="Times New Roman"/>
    </w:rPr>
  </w:style>
  <w:style w:type="character" w:styleId="WW8Num402z1">
    <w:name w:val="WW8Num402z1"/>
    <w:qFormat/>
    <w:rPr>
      <w:rFonts w:ascii="Courier New" w:hAnsi="Courier New" w:cs="Courier New"/>
    </w:rPr>
  </w:style>
  <w:style w:type="character" w:styleId="WW8Num402z2">
    <w:name w:val="WW8Num402z2"/>
    <w:qFormat/>
    <w:rPr>
      <w:rFonts w:ascii="Wingdings" w:hAnsi="Wingdings" w:cs="Wingdings"/>
    </w:rPr>
  </w:style>
  <w:style w:type="character" w:styleId="WW8Num402z3">
    <w:name w:val="WW8Num402z3"/>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Univers" w:hAnsi="Univers" w:cs="Univers"/>
      <w:b/>
      <w:i w:val="false"/>
    </w:rPr>
  </w:style>
  <w:style w:type="character" w:styleId="WW8Num404z1">
    <w:name w:val="WW8Num404z1"/>
    <w:qFormat/>
    <w:rPr>
      <w:rFonts w:ascii="Univers" w:hAnsi="Univers" w:cs="Univers"/>
      <w:b/>
      <w:i w:val="false"/>
      <w:sz w:val="24"/>
      <w:szCs w:val="24"/>
    </w:rPr>
  </w:style>
  <w:style w:type="character" w:styleId="WW8Num405z0">
    <w:name w:val="WW8Num405z0"/>
    <w:qFormat/>
    <w:rPr/>
  </w:style>
  <w:style w:type="character" w:styleId="WW8Num406z0">
    <w:name w:val="WW8Num406z0"/>
    <w:qFormat/>
    <w:rPr>
      <w:b w:val="false"/>
      <w:i w:val="false"/>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style>
  <w:style w:type="character" w:styleId="WW8Num418z0">
    <w:name w:val="WW8Num418z0"/>
    <w:qFormat/>
    <w:rPr>
      <w:rFonts w:ascii="Arial" w:hAnsi="Arial" w:cs="Arial"/>
      <w:b w:val="false"/>
      <w:i w:val="false"/>
      <w:color w:val="000000"/>
      <w:sz w:val="20"/>
      <w:szCs w:val="20"/>
      <w:u w:val="none"/>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2z0">
    <w:name w:val="WW8Num422z0"/>
    <w:qFormat/>
    <w:rPr/>
  </w:style>
  <w:style w:type="character" w:styleId="WW8Num424z0">
    <w:name w:val="WW8Num424z0"/>
    <w:qFormat/>
    <w:rPr/>
  </w:style>
  <w:style w:type="character" w:styleId="WW8Num426z0">
    <w:name w:val="WW8Num426z0"/>
    <w:qFormat/>
    <w:rPr/>
  </w:style>
  <w:style w:type="character" w:styleId="WW8Num427z0">
    <w:name w:val="WW8Num427z0"/>
    <w:qFormat/>
    <w:rPr>
      <w:rFonts w:ascii="Symbol" w:hAnsi="Symbol" w:cs="Symbol"/>
    </w:rPr>
  </w:style>
  <w:style w:type="character" w:styleId="WW8Num428z0">
    <w:name w:val="WW8Num428z0"/>
    <w:qFormat/>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0z1">
    <w:name w:val="WW8Num430z1"/>
    <w:qFormat/>
    <w:rPr>
      <w:rFonts w:ascii="Courier New" w:hAnsi="Courier New" w:cs="Courier New"/>
    </w:rPr>
  </w:style>
  <w:style w:type="character" w:styleId="WW8Num430z2">
    <w:name w:val="WW8Num430z2"/>
    <w:qFormat/>
    <w:rPr>
      <w:rFonts w:ascii="Wingdings" w:hAnsi="Wingdings" w:cs="Wingdings"/>
    </w:rPr>
  </w:style>
  <w:style w:type="character" w:styleId="WW8Num431z0">
    <w:name w:val="WW8Num431z0"/>
    <w:qFormat/>
    <w:rPr>
      <w:rFonts w:ascii="Times New Roman" w:hAnsi="Times New Roman" w:cs="Times New Roman"/>
    </w:rPr>
  </w:style>
  <w:style w:type="character" w:styleId="WW8Num432z0">
    <w:name w:val="WW8Num432z0"/>
    <w:qFormat/>
    <w:rPr>
      <w:rFonts w:ascii="Symbol" w:hAnsi="Symbol" w:cs="Symbol"/>
    </w:rPr>
  </w:style>
  <w:style w:type="character" w:styleId="WW8Num434z0">
    <w:name w:val="WW8Num434z0"/>
    <w:qFormat/>
    <w:rPr>
      <w:rFonts w:ascii="Symbol" w:hAnsi="Symbol" w:cs="Symbol"/>
    </w:rPr>
  </w:style>
  <w:style w:type="character" w:styleId="WW8Num436z0">
    <w:name w:val="WW8Num436z0"/>
    <w:qFormat/>
    <w:rPr/>
  </w:style>
  <w:style w:type="character" w:styleId="WW8Num439z0">
    <w:name w:val="WW8Num439z0"/>
    <w:qFormat/>
    <w:rPr>
      <w:rFonts w:ascii="Symbol" w:hAnsi="Symbol" w:cs="Symbol"/>
    </w:rPr>
  </w:style>
  <w:style w:type="character" w:styleId="WW8Num440z0">
    <w:name w:val="WW8Num440z0"/>
    <w:qFormat/>
    <w:rPr>
      <w:rFonts w:ascii="Times New Roman" w:hAnsi="Times New Roman" w:cs="Times New Roman"/>
    </w:rPr>
  </w:style>
  <w:style w:type="character" w:styleId="WW8Num441z0">
    <w:name w:val="WW8Num441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Wingdings" w:hAnsi="Wingdings" w:cs="Wingdings"/>
      <w:sz w:val="16"/>
    </w:rPr>
  </w:style>
  <w:style w:type="character" w:styleId="WW8Num447z0">
    <w:name w:val="WW8Num447z0"/>
    <w:qFormat/>
    <w:rPr/>
  </w:style>
  <w:style w:type="character" w:styleId="WW8Num447z1">
    <w:name w:val="WW8Num447z1"/>
    <w:qFormat/>
    <w:rPr>
      <w:rFonts w:ascii="Univers" w:hAnsi="Univers" w:cs="Univers"/>
      <w:b/>
      <w:i w:val="false"/>
      <w:sz w:val="24"/>
      <w:szCs w:val="24"/>
    </w:rPr>
  </w:style>
  <w:style w:type="character" w:styleId="WW8Num447z8">
    <w:name w:val="WW8Num447z8"/>
    <w:qFormat/>
    <w:rPr>
      <w:rFonts w:ascii="Univers" w:hAnsi="Univers" w:cs="Univers"/>
      <w:b w:val="false"/>
      <w:i w:val="false"/>
      <w:sz w:val="24"/>
      <w:szCs w:val="24"/>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51z0">
    <w:name w:val="WW8Num451z0"/>
    <w:qFormat/>
    <w:rPr/>
  </w:style>
  <w:style w:type="character" w:styleId="WW8Num452z0">
    <w:name w:val="WW8Num452z0"/>
    <w:qFormat/>
    <w:rPr>
      <w:rFonts w:ascii="Times New Roman" w:hAnsi="Times New Roman" w:cs="Times New Roman"/>
      <w:b/>
      <w:i w:val="false"/>
      <w:sz w:val="24"/>
      <w:szCs w:val="24"/>
      <w:u w:val="none"/>
    </w:rPr>
  </w:style>
  <w:style w:type="character" w:styleId="WW8Num452z1">
    <w:name w:val="WW8Num452z1"/>
    <w:qFormat/>
    <w:rPr>
      <w:rFonts w:ascii="Times New Roman" w:hAnsi="Times New Roman" w:cs="Times New Roman"/>
      <w:b/>
      <w:i w:val="false"/>
      <w:sz w:val="24"/>
      <w:szCs w:val="24"/>
    </w:rPr>
  </w:style>
  <w:style w:type="character" w:styleId="WW8Num452z4">
    <w:name w:val="WW8Num452z4"/>
    <w:qFormat/>
    <w:rPr>
      <w:rFonts w:ascii="Times New Roman" w:hAnsi="Times New Roman" w:cs="Times New Roman"/>
      <w:b w:val="false"/>
      <w:i w:val="false"/>
      <w:sz w:val="24"/>
      <w:szCs w:val="24"/>
    </w:rPr>
  </w:style>
  <w:style w:type="character" w:styleId="WW8Num453z0">
    <w:name w:val="WW8Num453z0"/>
    <w:qFormat/>
    <w:rPr/>
  </w:style>
  <w:style w:type="character" w:styleId="WW8Num454z0">
    <w:name w:val="WW8Num454z0"/>
    <w:qFormat/>
    <w:rPr/>
  </w:style>
  <w:style w:type="character" w:styleId="WW8Num456z0">
    <w:name w:val="WW8Num456z0"/>
    <w:qFormat/>
    <w:rPr>
      <w:rFonts w:ascii="Symbol" w:hAnsi="Symbol" w:cs="Symbol"/>
      <w:color w:val="auto"/>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rFonts w:ascii="Symbol" w:hAnsi="Symbol" w:cs="Symbol"/>
      <w:sz w:val="22"/>
    </w:rPr>
  </w:style>
  <w:style w:type="character" w:styleId="WW8Num460z0">
    <w:name w:val="WW8Num460z0"/>
    <w:qFormat/>
    <w:rPr/>
  </w:style>
  <w:style w:type="character" w:styleId="WW8Num461z0">
    <w:name w:val="WW8Num461z0"/>
    <w:qFormat/>
    <w:rPr>
      <w:rFonts w:ascii="Symbol" w:hAnsi="Symbol" w:cs="Symbol"/>
    </w:rPr>
  </w:style>
  <w:style w:type="character" w:styleId="WW8Num463z0">
    <w:name w:val="WW8Num463z0"/>
    <w:qFormat/>
    <w:rPr>
      <w:rFonts w:ascii="Wingdings" w:hAnsi="Wingdings" w:cs="Wingdings"/>
    </w:rPr>
  </w:style>
  <w:style w:type="character" w:styleId="WW8Num463z1">
    <w:name w:val="WW8Num463z1"/>
    <w:qFormat/>
    <w:rPr>
      <w:rFonts w:ascii="Courier New" w:hAnsi="Courier New" w:cs="Courier New"/>
    </w:rPr>
  </w:style>
  <w:style w:type="character" w:styleId="WW8Num463z3">
    <w:name w:val="WW8Num463z3"/>
    <w:qFormat/>
    <w:rPr>
      <w:rFonts w:ascii="Symbol" w:hAnsi="Symbol" w:cs="Symbol"/>
    </w:rPr>
  </w:style>
  <w:style w:type="character" w:styleId="WW8Num464z0">
    <w:name w:val="WW8Num464z0"/>
    <w:qFormat/>
    <w:rPr>
      <w:rFonts w:ascii="Wingdings" w:hAnsi="Wingdings" w:cs="Wingdings"/>
    </w:rPr>
  </w:style>
  <w:style w:type="character" w:styleId="WW8Num464z1">
    <w:name w:val="WW8Num464z1"/>
    <w:qFormat/>
    <w:rPr>
      <w:rFonts w:ascii="Courier New" w:hAnsi="Courier New" w:cs="Courier New"/>
    </w:rPr>
  </w:style>
  <w:style w:type="character" w:styleId="WW8Num464z3">
    <w:name w:val="WW8Num464z3"/>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8z1">
    <w:name w:val="WW8Num468z1"/>
    <w:qFormat/>
    <w:rPr>
      <w:rFonts w:ascii="Courier New" w:hAnsi="Courier New" w:cs="Courier New"/>
    </w:rPr>
  </w:style>
  <w:style w:type="character" w:styleId="WW8Num468z2">
    <w:name w:val="WW8Num468z2"/>
    <w:qFormat/>
    <w:rPr>
      <w:rFonts w:ascii="Wingdings" w:hAnsi="Wingdings" w:cs="Wingdings"/>
    </w:rPr>
  </w:style>
  <w:style w:type="character" w:styleId="WW8Num471z0">
    <w:name w:val="WW8Num471z0"/>
    <w:qFormat/>
    <w:rPr>
      <w:rFonts w:ascii="Symbol" w:hAnsi="Symbol" w:cs="Symbol"/>
      <w:color w:val="000000"/>
      <w:sz w:val="18"/>
      <w:szCs w:val="18"/>
    </w:rPr>
  </w:style>
  <w:style w:type="character" w:styleId="WW8Num472z0">
    <w:name w:val="WW8Num472z0"/>
    <w:qFormat/>
    <w:rPr>
      <w:rFonts w:ascii="Symbol" w:hAnsi="Symbol" w:cs="Symbol"/>
      <w:color w:val="auto"/>
    </w:rPr>
  </w:style>
  <w:style w:type="character" w:styleId="WW8Num473z0">
    <w:name w:val="WW8Num473z0"/>
    <w:qFormat/>
    <w:rPr>
      <w:rFonts w:ascii="Symbol" w:hAnsi="Symbol" w:cs="Symbol"/>
    </w:rPr>
  </w:style>
  <w:style w:type="character" w:styleId="WW8Num475z0">
    <w:name w:val="WW8Num475z0"/>
    <w:qFormat/>
    <w:rPr/>
  </w:style>
  <w:style w:type="character" w:styleId="WW8Num477z0">
    <w:name w:val="WW8Num477z0"/>
    <w:qFormat/>
    <w:rPr/>
  </w:style>
  <w:style w:type="character" w:styleId="WW8Num479z0">
    <w:name w:val="WW8Num479z0"/>
    <w:qFormat/>
    <w:rPr/>
  </w:style>
  <w:style w:type="character" w:styleId="WW8Num480z0">
    <w:name w:val="WW8Num480z0"/>
    <w:qFormat/>
    <w:rPr>
      <w:rFonts w:ascii="Symbol" w:hAnsi="Symbol" w:cs="Symbol"/>
      <w:color w:val="auto"/>
    </w:rPr>
  </w:style>
  <w:style w:type="character" w:styleId="WW8Num481z0">
    <w:name w:val="WW8Num481z0"/>
    <w:qFormat/>
    <w:rPr>
      <w:rFonts w:ascii="Symbol" w:hAnsi="Symbol" w:cs="Symbol"/>
    </w:rPr>
  </w:style>
  <w:style w:type="character" w:styleId="WW8Num482z0">
    <w:name w:val="WW8Num482z0"/>
    <w:qFormat/>
    <w:rPr>
      <w:rFonts w:ascii="Times New Roman" w:hAnsi="Times New Roman" w:cs="Times New Roman"/>
      <w:b w:val="false"/>
      <w:i w:val="false"/>
      <w:sz w:val="24"/>
      <w:szCs w:val="24"/>
      <w:u w:val="none"/>
    </w:rPr>
  </w:style>
  <w:style w:type="character" w:styleId="WW8Num483z0">
    <w:name w:val="WW8Num483z0"/>
    <w:qFormat/>
    <w:rPr/>
  </w:style>
  <w:style w:type="character" w:styleId="WW8Num484z0">
    <w:name w:val="WW8Num484z0"/>
    <w:qFormat/>
    <w:rPr>
      <w:rFonts w:ascii="Symbol" w:hAnsi="Symbol" w:cs="Symbol"/>
      <w:color w:val="000000"/>
      <w:sz w:val="18"/>
      <w:szCs w:val="18"/>
    </w:rPr>
  </w:style>
  <w:style w:type="character" w:styleId="WW8Num486z0">
    <w:name w:val="WW8Num486z0"/>
    <w:qFormat/>
    <w:rPr/>
  </w:style>
  <w:style w:type="character" w:styleId="WW8Num488z0">
    <w:name w:val="WW8Num488z0"/>
    <w:qFormat/>
    <w:rPr>
      <w:rFonts w:ascii="Times New Roman" w:hAnsi="Times New Roman" w:cs="Times New Roman"/>
      <w:b w:val="false"/>
      <w:i w:val="false"/>
      <w:sz w:val="24"/>
    </w:rPr>
  </w:style>
  <w:style w:type="character" w:styleId="WW8Num488z2">
    <w:name w:val="WW8Num488z2"/>
    <w:qFormat/>
    <w:rPr>
      <w:rFonts w:ascii="Times New Roman" w:hAnsi="Times New Roman" w:cs="Times New Roman"/>
      <w:b/>
      <w:i w:val="false"/>
    </w:rPr>
  </w:style>
  <w:style w:type="character" w:styleId="WW8Num488z3">
    <w:name w:val="WW8Num488z3"/>
    <w:qFormat/>
    <w:rPr/>
  </w:style>
  <w:style w:type="character" w:styleId="WW8Num489z0">
    <w:name w:val="WW8Num489z0"/>
    <w:qFormat/>
    <w:rPr>
      <w:rFonts w:ascii="Times New Roman" w:hAnsi="Times New Roman" w:cs="Times New Roman"/>
      <w:b w:val="false"/>
      <w:i w:val="false"/>
      <w:sz w:val="24"/>
      <w:szCs w:val="24"/>
      <w:u w:val="none"/>
    </w:rPr>
  </w:style>
  <w:style w:type="character" w:styleId="WW8Num490z0">
    <w:name w:val="WW8Num490z0"/>
    <w:qFormat/>
    <w:rPr>
      <w:b w:val="false"/>
      <w:i w:val="false"/>
    </w:rPr>
  </w:style>
  <w:style w:type="character" w:styleId="WW8Num492z0">
    <w:name w:val="WW8Num492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Symbol" w:hAnsi="Symbol" w:cs="Symbol"/>
    </w:rPr>
  </w:style>
  <w:style w:type="character" w:styleId="WW8Num497z0">
    <w:name w:val="WW8Num497z0"/>
    <w:qFormat/>
    <w:rPr/>
  </w:style>
  <w:style w:type="character" w:styleId="WW8Num498z0">
    <w:name w:val="WW8Num498z0"/>
    <w:qFormat/>
    <w:rPr/>
  </w:style>
  <w:style w:type="character" w:styleId="WW8Num502z0">
    <w:name w:val="WW8Num502z0"/>
    <w:qFormat/>
    <w:rPr>
      <w:rFonts w:ascii="Symbol" w:hAnsi="Symbol" w:cs="Symbol"/>
    </w:rPr>
  </w:style>
  <w:style w:type="character" w:styleId="WW8Num504z0">
    <w:name w:val="WW8Num504z0"/>
    <w:qFormat/>
    <w:rPr>
      <w:rFonts w:ascii="Symbol" w:hAnsi="Symbol" w:cs="Symbol"/>
      <w:color w:val="auto"/>
    </w:rPr>
  </w:style>
  <w:style w:type="character" w:styleId="WW8Num506z0">
    <w:name w:val="WW8Num506z0"/>
    <w:qFormat/>
    <w:rPr>
      <w:rFonts w:ascii="Symbol" w:hAnsi="Symbol" w:cs="Symbol"/>
    </w:rPr>
  </w:style>
  <w:style w:type="character" w:styleId="WW8Num507z0">
    <w:name w:val="WW8Num507z0"/>
    <w:qFormat/>
    <w:rPr>
      <w:rFonts w:ascii="Symbol" w:hAnsi="Symbol" w:cs="Symbol"/>
      <w:color w:val="000000"/>
      <w:sz w:val="18"/>
      <w:szCs w:val="18"/>
    </w:rPr>
  </w:style>
  <w:style w:type="character" w:styleId="WW8Num509z0">
    <w:name w:val="WW8Num509z0"/>
    <w:qFormat/>
    <w:rPr>
      <w:rFonts w:ascii="Symbol" w:hAnsi="Symbol" w:cs="Symbol"/>
    </w:rPr>
  </w:style>
  <w:style w:type="character" w:styleId="WW8Num510z0">
    <w:name w:val="WW8Num510z0"/>
    <w:qFormat/>
    <w:rPr/>
  </w:style>
  <w:style w:type="character" w:styleId="WW8Num512z0">
    <w:name w:val="WW8Num512z0"/>
    <w:qFormat/>
    <w:rPr>
      <w:rFonts w:ascii="Symbol" w:hAnsi="Symbol" w:cs="Symbol"/>
    </w:rPr>
  </w:style>
  <w:style w:type="character" w:styleId="WW8Num514z0">
    <w:name w:val="WW8Num514z0"/>
    <w:qFormat/>
    <w:rPr>
      <w:b w:val="false"/>
      <w:i w:val="false"/>
    </w:rPr>
  </w:style>
  <w:style w:type="character" w:styleId="WW8Num515z0">
    <w:name w:val="WW8Num515z0"/>
    <w:qFormat/>
    <w:rPr/>
  </w:style>
  <w:style w:type="character" w:styleId="WW8Num516z0">
    <w:name w:val="WW8Num516z0"/>
    <w:qFormat/>
    <w:rPr/>
  </w:style>
  <w:style w:type="character" w:styleId="WW8Num518z0">
    <w:name w:val="WW8Num518z0"/>
    <w:qFormat/>
    <w:rPr>
      <w:rFonts w:ascii="Times New Roman" w:hAnsi="Times New Roman" w:cs="Times New Roman"/>
      <w:b w:val="false"/>
      <w:i w:val="false"/>
      <w:sz w:val="24"/>
    </w:rPr>
  </w:style>
  <w:style w:type="character" w:styleId="WW8Num518z1">
    <w:name w:val="WW8Num518z1"/>
    <w:qFormat/>
    <w:rPr>
      <w:rFonts w:ascii="Times New Roman" w:hAnsi="Times New Roman" w:cs="Times New Roman"/>
      <w:b/>
      <w:i w:val="false"/>
      <w:sz w:val="24"/>
    </w:rPr>
  </w:style>
  <w:style w:type="character" w:styleId="WW8Num518z2">
    <w:name w:val="WW8Num518z2"/>
    <w:qFormat/>
    <w:rPr>
      <w:rFonts w:ascii="Times New Roman" w:hAnsi="Times New Roman" w:cs="Times New Roman"/>
      <w:b/>
      <w:i w:val="false"/>
    </w:rPr>
  </w:style>
  <w:style w:type="character" w:styleId="WW8Num518z3">
    <w:name w:val="WW8Num518z3"/>
    <w:qFormat/>
    <w:rPr/>
  </w:style>
  <w:style w:type="character" w:styleId="WW8Num519z0">
    <w:name w:val="WW8Num519z0"/>
    <w:qFormat/>
    <w:rPr/>
  </w:style>
  <w:style w:type="character" w:styleId="WW8Num520z0">
    <w:name w:val="WW8Num520z0"/>
    <w:qFormat/>
    <w:rPr>
      <w:rFonts w:ascii="Symbol" w:hAnsi="Symbol" w:cs="Symbol"/>
    </w:rPr>
  </w:style>
  <w:style w:type="character" w:styleId="WW8Num521z0">
    <w:name w:val="WW8Num521z0"/>
    <w:qFormat/>
    <w:rPr/>
  </w:style>
  <w:style w:type="character" w:styleId="WW8Num522z0">
    <w:name w:val="WW8Num522z0"/>
    <w:qFormat/>
    <w:rPr>
      <w:b w:val="false"/>
      <w:i w:val="false"/>
      <w:u w:val="none"/>
    </w:rPr>
  </w:style>
  <w:style w:type="character" w:styleId="WW8Num524z0">
    <w:name w:val="WW8Num524z0"/>
    <w:qFormat/>
    <w:rPr>
      <w:rFonts w:ascii="Symbol" w:hAnsi="Symbol" w:cs="Symbol"/>
    </w:rPr>
  </w:style>
  <w:style w:type="character" w:styleId="WW8Num524z1">
    <w:name w:val="WW8Num524z1"/>
    <w:qFormat/>
    <w:rPr>
      <w:rFonts w:ascii="Courier New" w:hAnsi="Courier New" w:cs="Courier New"/>
    </w:rPr>
  </w:style>
  <w:style w:type="character" w:styleId="WW8Num524z2">
    <w:name w:val="WW8Num524z2"/>
    <w:qFormat/>
    <w:rPr>
      <w:rFonts w:ascii="Wingdings" w:hAnsi="Wingdings" w:cs="Wingdings"/>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6z1">
    <w:name w:val="WW8Num526z1"/>
    <w:qFormat/>
    <w:rPr>
      <w:rFonts w:ascii="Courier New" w:hAnsi="Courier New" w:cs="Courier New"/>
    </w:rPr>
  </w:style>
  <w:style w:type="character" w:styleId="WW8Num526z2">
    <w:name w:val="WW8Num526z2"/>
    <w:qFormat/>
    <w:rPr>
      <w:rFonts w:ascii="Wingdings" w:hAnsi="Wingdings" w:cs="Wingdings"/>
    </w:rPr>
  </w:style>
  <w:style w:type="character" w:styleId="WW8Num527z0">
    <w:name w:val="WW8Num527z0"/>
    <w:qFormat/>
    <w:rPr>
      <w:rFonts w:ascii="Symbol" w:hAnsi="Symbol" w:cs="Symbol"/>
    </w:rPr>
  </w:style>
  <w:style w:type="character" w:styleId="WW8Num528z0">
    <w:name w:val="WW8Num528z0"/>
    <w:qFormat/>
    <w:rPr/>
  </w:style>
  <w:style w:type="character" w:styleId="WW8Num529z0">
    <w:name w:val="WW8Num529z0"/>
    <w:qFormat/>
    <w:rPr>
      <w:rFonts w:ascii="Symbol" w:hAnsi="Symbol" w:cs="Symbol"/>
    </w:rPr>
  </w:style>
  <w:style w:type="character" w:styleId="WW8Num531z0">
    <w:name w:val="WW8Num531z0"/>
    <w:qFormat/>
    <w:rPr>
      <w:rFonts w:ascii="Symbol" w:hAnsi="Symbol" w:cs="Symbol"/>
    </w:rPr>
  </w:style>
  <w:style w:type="character" w:styleId="WW8Num532z0">
    <w:name w:val="WW8Num532z0"/>
    <w:qFormat/>
    <w:rPr>
      <w:rFonts w:ascii="Symbol" w:hAnsi="Symbol" w:cs="Symbol"/>
      <w:color w:val="000000"/>
      <w:sz w:val="18"/>
      <w:szCs w:val="18"/>
    </w:rPr>
  </w:style>
  <w:style w:type="character" w:styleId="WW8Num533z0">
    <w:name w:val="WW8Num533z0"/>
    <w:qFormat/>
    <w:rPr>
      <w:rFonts w:ascii="Symbol" w:hAnsi="Symbol" w:cs="Symbol"/>
    </w:rPr>
  </w:style>
  <w:style w:type="character" w:styleId="WW8Num534z0">
    <w:name w:val="WW8Num534z0"/>
    <w:qFormat/>
    <w:rPr/>
  </w:style>
  <w:style w:type="character" w:styleId="WW8Num535z0">
    <w:name w:val="WW8Num535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rPr>
  </w:style>
  <w:style w:type="character" w:styleId="WW8Num540z0">
    <w:name w:val="WW8Num540z0"/>
    <w:qFormat/>
    <w:rPr>
      <w:rFonts w:ascii="Symbol" w:hAnsi="Symbol" w:cs="Symbol"/>
    </w:rPr>
  </w:style>
  <w:style w:type="character" w:styleId="WW8Num540z1">
    <w:name w:val="WW8Num540z1"/>
    <w:qFormat/>
    <w:rPr>
      <w:rFonts w:ascii="Courier New" w:hAnsi="Courier New" w:cs="Courier New"/>
    </w:rPr>
  </w:style>
  <w:style w:type="character" w:styleId="WW8Num540z2">
    <w:name w:val="WW8Num540z2"/>
    <w:qFormat/>
    <w:rPr>
      <w:rFonts w:ascii="Wingdings" w:hAnsi="Wingdings" w:cs="Wingdings"/>
    </w:rPr>
  </w:style>
  <w:style w:type="character" w:styleId="WW8Num541z0">
    <w:name w:val="WW8Num541z0"/>
    <w:qFormat/>
    <w:rPr>
      <w:rFonts w:ascii="Symbol" w:hAnsi="Symbol" w:cs="Symbol"/>
      <w:color w:val="auto"/>
    </w:rPr>
  </w:style>
  <w:style w:type="character" w:styleId="WW8Num542z0">
    <w:name w:val="WW8Num542z0"/>
    <w:qFormat/>
    <w:rPr>
      <w:rFonts w:ascii="Symbol" w:hAnsi="Symbol" w:cs="Symbol"/>
    </w:rPr>
  </w:style>
  <w:style w:type="character" w:styleId="WW8Num543z0">
    <w:name w:val="WW8Num543z0"/>
    <w:qFormat/>
    <w:rPr>
      <w:b/>
      <w:color w:val="auto"/>
    </w:rPr>
  </w:style>
  <w:style w:type="character" w:styleId="WW8Num544z0">
    <w:name w:val="WW8Num544z0"/>
    <w:qFormat/>
    <w:rPr>
      <w:rFonts w:ascii="Symbol" w:hAnsi="Symbol" w:cs="Symbol"/>
    </w:rPr>
  </w:style>
  <w:style w:type="character" w:styleId="WW8Num545z0">
    <w:name w:val="WW8Num545z0"/>
    <w:qFormat/>
    <w:rPr>
      <w:rFonts w:ascii="Wingdings" w:hAnsi="Wingdings" w:cs="Wingdings"/>
    </w:rPr>
  </w:style>
  <w:style w:type="character" w:styleId="WW8Num545z1">
    <w:name w:val="WW8Num545z1"/>
    <w:qFormat/>
    <w:rPr>
      <w:rFonts w:ascii="Courier New" w:hAnsi="Courier New" w:cs="Courier New"/>
    </w:rPr>
  </w:style>
  <w:style w:type="character" w:styleId="WW8Num545z3">
    <w:name w:val="WW8Num545z3"/>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style>
  <w:style w:type="character" w:styleId="WW8Num548z0">
    <w:name w:val="WW8Num548z0"/>
    <w:qFormat/>
    <w:rPr>
      <w:rFonts w:ascii="Symbol" w:hAnsi="Symbol" w:cs="Symbol"/>
    </w:rPr>
  </w:style>
  <w:style w:type="character" w:styleId="WW8Num548z1">
    <w:name w:val="WW8Num548z1"/>
    <w:qFormat/>
    <w:rPr>
      <w:rFonts w:ascii="Courier New" w:hAnsi="Courier New" w:cs="Courier New"/>
    </w:rPr>
  </w:style>
  <w:style w:type="character" w:styleId="WW8Num548z2">
    <w:name w:val="WW8Num548z2"/>
    <w:qFormat/>
    <w:rPr>
      <w:rFonts w:ascii="Wingdings" w:hAnsi="Wingdings" w:cs="Wingdings"/>
    </w:rPr>
  </w:style>
  <w:style w:type="character" w:styleId="WW8Num550z0">
    <w:name w:val="WW8Num550z0"/>
    <w:qFormat/>
    <w:rPr>
      <w:rFonts w:ascii="Symbol" w:hAnsi="Symbol" w:cs="Symbol"/>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2z1">
    <w:name w:val="WW8Num552z1"/>
    <w:qFormat/>
    <w:rPr>
      <w:rFonts w:ascii="Courier New" w:hAnsi="Courier New" w:cs="Courier New"/>
    </w:rPr>
  </w:style>
  <w:style w:type="character" w:styleId="WW8Num552z2">
    <w:name w:val="WW8Num552z2"/>
    <w:qFormat/>
    <w:rPr>
      <w:rFonts w:ascii="Wingdings" w:hAnsi="Wingdings" w:cs="Wingdings"/>
    </w:rPr>
  </w:style>
  <w:style w:type="character" w:styleId="WW8Num554z0">
    <w:name w:val="WW8Num554z0"/>
    <w:qFormat/>
    <w:rPr>
      <w:rFonts w:ascii="Symbol" w:hAnsi="Symbol" w:cs="Symbol"/>
    </w:rPr>
  </w:style>
  <w:style w:type="character" w:styleId="WW8Num555z0">
    <w:name w:val="WW8Num555z0"/>
    <w:qFormat/>
    <w:rPr/>
  </w:style>
  <w:style w:type="character" w:styleId="WW8Num557z0">
    <w:name w:val="WW8Num557z0"/>
    <w:qFormat/>
    <w:rPr>
      <w:rFonts w:ascii="Wingdings" w:hAnsi="Wingdings" w:cs="Wingdings"/>
    </w:rPr>
  </w:style>
  <w:style w:type="character" w:styleId="WW8Num558z0">
    <w:name w:val="WW8Num558z0"/>
    <w:qFormat/>
    <w:rPr>
      <w:rFonts w:ascii="Symbol" w:hAnsi="Symbol" w:cs="Symbol"/>
    </w:rPr>
  </w:style>
  <w:style w:type="character" w:styleId="WW8Num559z0">
    <w:name w:val="WW8Num559z0"/>
    <w:qFormat/>
    <w:rPr/>
  </w:style>
  <w:style w:type="character" w:styleId="WW8Num560z0">
    <w:name w:val="WW8Num560z0"/>
    <w:qFormat/>
    <w:rPr>
      <w:rFonts w:ascii="Wingdings" w:hAnsi="Wingdings" w:cs="Wingdings"/>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3z0">
    <w:name w:val="WW8Num563z0"/>
    <w:qFormat/>
    <w:rPr>
      <w:color w:val="000000"/>
    </w:rPr>
  </w:style>
  <w:style w:type="character" w:styleId="WW8Num566z0">
    <w:name w:val="WW8Num566z0"/>
    <w:qFormat/>
    <w:rPr>
      <w:b w:val="false"/>
      <w:i w:val="false"/>
      <w:u w:val="none"/>
    </w:rPr>
  </w:style>
  <w:style w:type="character" w:styleId="WW8Num568z0">
    <w:name w:val="WW8Num568z0"/>
    <w:qFormat/>
    <w:rPr>
      <w:rFonts w:ascii="Symbol" w:hAnsi="Symbol" w:cs="Symbol"/>
      <w:color w:val="auto"/>
    </w:rPr>
  </w:style>
  <w:style w:type="character" w:styleId="WW8Num569z0">
    <w:name w:val="WW8Num569z0"/>
    <w:qFormat/>
    <w:rPr/>
  </w:style>
  <w:style w:type="character" w:styleId="WW8Num571z0">
    <w:name w:val="WW8Num571z0"/>
    <w:qFormat/>
    <w:rPr/>
  </w:style>
  <w:style w:type="character" w:styleId="WW8Num572z0">
    <w:name w:val="WW8Num572z0"/>
    <w:qFormat/>
    <w:rPr>
      <w:rFonts w:ascii="Symbol" w:hAnsi="Symbol" w:cs="Symbol"/>
    </w:rPr>
  </w:style>
  <w:style w:type="character" w:styleId="WW8Num572z1">
    <w:name w:val="WW8Num572z1"/>
    <w:qFormat/>
    <w:rPr>
      <w:rFonts w:ascii="Courier New" w:hAnsi="Courier New" w:cs="Courier New"/>
    </w:rPr>
  </w:style>
  <w:style w:type="character" w:styleId="WW8Num572z2">
    <w:name w:val="WW8Num572z2"/>
    <w:qFormat/>
    <w:rPr>
      <w:rFonts w:ascii="Wingdings" w:hAnsi="Wingdings" w:cs="Wingdings"/>
    </w:rPr>
  </w:style>
  <w:style w:type="character" w:styleId="WW8Num577z0">
    <w:name w:val="WW8Num577z0"/>
    <w:qFormat/>
    <w:rPr>
      <w:rFonts w:ascii="Symbol" w:hAnsi="Symbol" w:cs="Symbol"/>
      <w:color w:val="auto"/>
    </w:rPr>
  </w:style>
  <w:style w:type="character" w:styleId="WW8Num578z0">
    <w:name w:val="WW8Num578z0"/>
    <w:qFormat/>
    <w:rPr>
      <w:rFonts w:ascii="Symbol" w:hAnsi="Symbol" w:cs="Symbol"/>
      <w:color w:val="000000"/>
      <w:sz w:val="18"/>
      <w:szCs w:val="18"/>
    </w:rPr>
  </w:style>
  <w:style w:type="character" w:styleId="WW8Num579z0">
    <w:name w:val="WW8Num579z0"/>
    <w:qFormat/>
    <w:rPr>
      <w:rFonts w:ascii="Symbol" w:hAnsi="Symbol" w:cs="Symbol"/>
    </w:rPr>
  </w:style>
  <w:style w:type="character" w:styleId="WW8Num580z0">
    <w:name w:val="WW8Num580z0"/>
    <w:qFormat/>
    <w:rPr>
      <w:rFonts w:ascii="Symbol" w:hAnsi="Symbol" w:cs="Symbol"/>
    </w:rPr>
  </w:style>
  <w:style w:type="character" w:styleId="WW8Num580z1">
    <w:name w:val="WW8Num580z1"/>
    <w:qFormat/>
    <w:rPr>
      <w:rFonts w:ascii="Courier New" w:hAnsi="Courier New" w:cs="Courier New"/>
    </w:rPr>
  </w:style>
  <w:style w:type="character" w:styleId="WW8Num580z2">
    <w:name w:val="WW8Num580z2"/>
    <w:qFormat/>
    <w:rPr>
      <w:rFonts w:ascii="Wingdings" w:hAnsi="Wingdings" w:cs="Wingdings"/>
    </w:rPr>
  </w:style>
  <w:style w:type="character" w:styleId="WW8Num582z0">
    <w:name w:val="WW8Num582z0"/>
    <w:qFormat/>
    <w:rPr>
      <w:rFonts w:ascii="Symbol" w:hAnsi="Symbol" w:cs="Symbol"/>
    </w:rPr>
  </w:style>
  <w:style w:type="character" w:styleId="WW8Num584z0">
    <w:name w:val="WW8Num584z0"/>
    <w:qFormat/>
    <w:rPr>
      <w:rFonts w:ascii="Symbol" w:hAnsi="Symbol" w:cs="Symbol"/>
    </w:rPr>
  </w:style>
  <w:style w:type="character" w:styleId="WW8Num585z0">
    <w:name w:val="WW8Num585z0"/>
    <w:qFormat/>
    <w:rPr>
      <w:rFonts w:ascii="Century Schoolbook" w:hAnsi="Century Schoolbook" w:cs="Century Schoolbook"/>
      <w:b w:val="false"/>
      <w:i w:val="false"/>
      <w:sz w:val="22"/>
    </w:rPr>
  </w:style>
  <w:style w:type="character" w:styleId="WW8Num586z0">
    <w:name w:val="WW8Num586z0"/>
    <w:qFormat/>
    <w:rPr>
      <w:b w:val="false"/>
      <w:i w:val="false"/>
      <w:sz w:val="24"/>
    </w:rPr>
  </w:style>
  <w:style w:type="character" w:styleId="WW8Num587z0">
    <w:name w:val="WW8Num587z0"/>
    <w:qFormat/>
    <w:rPr>
      <w:rFonts w:ascii="Symbol" w:hAnsi="Symbol" w:cs="Symbol"/>
    </w:rPr>
  </w:style>
  <w:style w:type="character" w:styleId="WW8Num588z0">
    <w:name w:val="WW8Num588z0"/>
    <w:qFormat/>
    <w:rPr>
      <w:rFonts w:ascii="Symbol" w:hAnsi="Symbol" w:cs="Symbol"/>
    </w:rPr>
  </w:style>
  <w:style w:type="character" w:styleId="WW8Num589z0">
    <w:name w:val="WW8Num589z0"/>
    <w:qFormat/>
    <w:rPr>
      <w:rFonts w:ascii="Wingdings" w:hAnsi="Wingdings" w:cs="Wingdings"/>
    </w:rPr>
  </w:style>
  <w:style w:type="character" w:styleId="WW8Num590z0">
    <w:name w:val="WW8Num590z0"/>
    <w:qFormat/>
    <w:rPr/>
  </w:style>
  <w:style w:type="character" w:styleId="WW8Num591z0">
    <w:name w:val="WW8Num591z0"/>
    <w:qFormat/>
    <w:rPr>
      <w:rFonts w:ascii="Symbol" w:hAnsi="Symbol" w:cs="Symbol"/>
      <w:color w:val="000000"/>
      <w:sz w:val="18"/>
      <w:szCs w:val="18"/>
    </w:rPr>
  </w:style>
  <w:style w:type="character" w:styleId="WW8Num592z0">
    <w:name w:val="WW8Num592z0"/>
    <w:qFormat/>
    <w:rPr>
      <w:rFonts w:ascii="Symbol" w:hAnsi="Symbol" w:cs="Symbol"/>
    </w:rPr>
  </w:style>
  <w:style w:type="character" w:styleId="WW8Num593z0">
    <w:name w:val="WW8Num593z0"/>
    <w:qFormat/>
    <w:rPr/>
  </w:style>
  <w:style w:type="character" w:styleId="WW8Num594z0">
    <w:name w:val="WW8Num594z0"/>
    <w:qFormat/>
    <w:rPr>
      <w:rFonts w:ascii="Marlett" w:hAnsi="Marlett" w:cs="Marlett"/>
    </w:rPr>
  </w:style>
  <w:style w:type="character" w:styleId="WW8Num595z0">
    <w:name w:val="WW8Num595z0"/>
    <w:qFormat/>
    <w:rPr>
      <w:rFonts w:ascii="Symbol" w:hAnsi="Symbol" w:cs="Symbol"/>
    </w:rPr>
  </w:style>
  <w:style w:type="character" w:styleId="WW8Num596z0">
    <w:name w:val="WW8Num596z0"/>
    <w:qFormat/>
    <w:rPr/>
  </w:style>
  <w:style w:type="character" w:styleId="WW8Num597z0">
    <w:name w:val="WW8Num597z0"/>
    <w:qFormat/>
    <w:rPr>
      <w:rFonts w:ascii="Times New Roman" w:hAnsi="Times New Roman" w:cs="Times New Roman"/>
      <w:b w:val="false"/>
      <w:i w:val="false"/>
      <w:sz w:val="24"/>
      <w:szCs w:val="24"/>
      <w:u w:val="none"/>
    </w:rPr>
  </w:style>
  <w:style w:type="character" w:styleId="WW8Num598z0">
    <w:name w:val="WW8Num598z0"/>
    <w:qFormat/>
    <w:rPr>
      <w:rFonts w:ascii="Symbol" w:hAnsi="Symbol" w:cs="Symbol"/>
    </w:rPr>
  </w:style>
  <w:style w:type="character" w:styleId="WW8Num599z0">
    <w:name w:val="WW8Num599z0"/>
    <w:qFormat/>
    <w:rPr>
      <w:rFonts w:ascii="Symbol" w:hAnsi="Symbol" w:cs="Symbol"/>
    </w:rPr>
  </w:style>
  <w:style w:type="character" w:styleId="WW8Num601z0">
    <w:name w:val="WW8Num601z0"/>
    <w:qFormat/>
    <w:rPr>
      <w:rFonts w:ascii="Symbol" w:hAnsi="Symbol" w:cs="Symbol"/>
      <w:sz w:val="52"/>
    </w:rPr>
  </w:style>
  <w:style w:type="character" w:styleId="WW8Num602z0">
    <w:name w:val="WW8Num602z0"/>
    <w:qFormat/>
    <w:rPr/>
  </w:style>
  <w:style w:type="character" w:styleId="WW8Num603z0">
    <w:name w:val="WW8Num603z0"/>
    <w:qFormat/>
    <w:rPr>
      <w:rFonts w:ascii="Symbol" w:hAnsi="Symbol" w:cs="Symbol"/>
    </w:rPr>
  </w:style>
  <w:style w:type="character" w:styleId="WW8Num605z0">
    <w:name w:val="WW8Num605z0"/>
    <w:qFormat/>
    <w:rPr>
      <w:rFonts w:ascii="Symbol" w:hAnsi="Symbol" w:cs="Symbol"/>
    </w:rPr>
  </w:style>
  <w:style w:type="character" w:styleId="WW8Num606z0">
    <w:name w:val="WW8Num606z0"/>
    <w:qFormat/>
    <w:rPr>
      <w:b w:val="false"/>
      <w:i w:val="false"/>
      <w:u w:val="none"/>
    </w:rPr>
  </w:style>
  <w:style w:type="character" w:styleId="WW8Num607z0">
    <w:name w:val="WW8Num607z0"/>
    <w:qFormat/>
    <w:rPr>
      <w:rFonts w:ascii="Symbol" w:hAnsi="Symbol" w:cs="Symbol"/>
    </w:rPr>
  </w:style>
  <w:style w:type="character" w:styleId="WW8Num608z0">
    <w:name w:val="WW8Num608z0"/>
    <w:qFormat/>
    <w:rPr>
      <w:b/>
    </w:rPr>
  </w:style>
  <w:style w:type="character" w:styleId="WW8Num608z4">
    <w:name w:val="WW8Num608z4"/>
    <w:qFormat/>
    <w:rPr/>
  </w:style>
  <w:style w:type="character" w:styleId="WW8Num609z0">
    <w:name w:val="WW8Num609z0"/>
    <w:qFormat/>
    <w:rPr>
      <w:rFonts w:ascii="Symbol" w:hAnsi="Symbol" w:cs="Symbol"/>
    </w:rPr>
  </w:style>
  <w:style w:type="character" w:styleId="WW8Num609z1">
    <w:name w:val="WW8Num609z1"/>
    <w:qFormat/>
    <w:rPr>
      <w:rFonts w:ascii="Courier New" w:hAnsi="Courier New" w:cs="Courier New"/>
    </w:rPr>
  </w:style>
  <w:style w:type="character" w:styleId="WW8Num609z2">
    <w:name w:val="WW8Num609z2"/>
    <w:qFormat/>
    <w:rPr>
      <w:rFonts w:ascii="Wingdings" w:hAnsi="Wingdings" w:cs="Wingdings"/>
    </w:rPr>
  </w:style>
  <w:style w:type="character" w:styleId="WW8Num610z0">
    <w:name w:val="WW8Num610z0"/>
    <w:qFormat/>
    <w:rPr/>
  </w:style>
  <w:style w:type="character" w:styleId="WW8Num611z0">
    <w:name w:val="WW8Num611z0"/>
    <w:qFormat/>
    <w:rPr>
      <w:u w:val="none"/>
    </w:rPr>
  </w:style>
  <w:style w:type="character" w:styleId="WW8Num612z0">
    <w:name w:val="WW8Num612z0"/>
    <w:qFormat/>
    <w:rPr>
      <w:rFonts w:ascii="Symbol" w:hAnsi="Symbol" w:cs="Symbol"/>
      <w:color w:val="000000"/>
      <w:sz w:val="18"/>
      <w:szCs w:val="18"/>
    </w:rPr>
  </w:style>
  <w:style w:type="character" w:styleId="WW8Num613z0">
    <w:name w:val="WW8Num613z0"/>
    <w:qFormat/>
    <w:rPr>
      <w:rFonts w:ascii="Symbol" w:hAnsi="Symbol" w:cs="Symbol"/>
    </w:rPr>
  </w:style>
  <w:style w:type="character" w:styleId="WW8Num614z0">
    <w:name w:val="WW8Num614z0"/>
    <w:qFormat/>
    <w:rPr/>
  </w:style>
  <w:style w:type="character" w:styleId="WW8Num615z0">
    <w:name w:val="WW8Num615z0"/>
    <w:qFormat/>
    <w:rPr/>
  </w:style>
  <w:style w:type="character" w:styleId="WW8Num615z1">
    <w:name w:val="WW8Num615z1"/>
    <w:qFormat/>
    <w:rPr>
      <w:rFonts w:ascii="Courier New" w:hAnsi="Courier New" w:cs="Courier New"/>
    </w:rPr>
  </w:style>
  <w:style w:type="character" w:styleId="WW8Num615z2">
    <w:name w:val="WW8Num615z2"/>
    <w:qFormat/>
    <w:rPr>
      <w:rFonts w:ascii="Wingdings" w:hAnsi="Wingdings" w:cs="Wingdings"/>
    </w:rPr>
  </w:style>
  <w:style w:type="character" w:styleId="WW8Num615z3">
    <w:name w:val="WW8Num615z3"/>
    <w:qFormat/>
    <w:rPr>
      <w:rFonts w:ascii="Symbol" w:hAnsi="Symbol" w:cs="Symbol"/>
    </w:rPr>
  </w:style>
  <w:style w:type="character" w:styleId="WW8Num616z0">
    <w:name w:val="WW8Num616z0"/>
    <w:qFormat/>
    <w:rPr>
      <w:rFonts w:ascii="Times New Roman" w:hAnsi="Times New Roman" w:cs="Times New Roman"/>
    </w:rPr>
  </w:style>
  <w:style w:type="character" w:styleId="WW8Num617z0">
    <w:name w:val="WW8Num617z0"/>
    <w:qFormat/>
    <w:rPr>
      <w:rFonts w:ascii="Symbol" w:hAnsi="Symbol" w:cs="Symbol"/>
    </w:rPr>
  </w:style>
  <w:style w:type="character" w:styleId="WW8Num618z0">
    <w:name w:val="WW8Num618z0"/>
    <w:qFormat/>
    <w:rPr>
      <w:rFonts w:ascii="Symbol" w:hAnsi="Symbol" w:cs="Symbol"/>
    </w:rPr>
  </w:style>
  <w:style w:type="character" w:styleId="WW8Num619z0">
    <w:name w:val="WW8Num619z0"/>
    <w:qFormat/>
    <w:rPr>
      <w:rFonts w:ascii="Symbol" w:hAnsi="Symbol" w:cs="Symbol"/>
      <w:color w:val="auto"/>
      <w:sz w:val="20"/>
    </w:rPr>
  </w:style>
  <w:style w:type="character" w:styleId="WW8Num620z0">
    <w:name w:val="WW8Num620z0"/>
    <w:qFormat/>
    <w:rPr>
      <w:rFonts w:ascii="Symbol" w:hAnsi="Symbol" w:cs="Symbol"/>
    </w:rPr>
  </w:style>
  <w:style w:type="character" w:styleId="WW8Num621z0">
    <w:name w:val="WW8Num621z0"/>
    <w:qFormat/>
    <w:rPr>
      <w:rFonts w:ascii="Symbol" w:hAnsi="Symbol" w:cs="Symbol"/>
    </w:rPr>
  </w:style>
  <w:style w:type="character" w:styleId="WW8Num622z0">
    <w:name w:val="WW8Num622z0"/>
    <w:qFormat/>
    <w:rPr>
      <w:rFonts w:ascii="Symbol" w:hAnsi="Symbol" w:cs="Symbol"/>
      <w:color w:val="auto"/>
    </w:rPr>
  </w:style>
  <w:style w:type="character" w:styleId="WW8Num623z0">
    <w:name w:val="WW8Num623z0"/>
    <w:qFormat/>
    <w:rPr/>
  </w:style>
  <w:style w:type="character" w:styleId="WW8Num624z0">
    <w:name w:val="WW8Num624z0"/>
    <w:qFormat/>
    <w:rPr>
      <w:rFonts w:ascii="Symbol" w:hAnsi="Symbol" w:cs="Symbol"/>
    </w:rPr>
  </w:style>
  <w:style w:type="character" w:styleId="WW8Num624z1">
    <w:name w:val="WW8Num624z1"/>
    <w:qFormat/>
    <w:rPr>
      <w:rFonts w:ascii="Courier New" w:hAnsi="Courier New" w:cs="Courier New"/>
    </w:rPr>
  </w:style>
  <w:style w:type="character" w:styleId="WW8Num624z2">
    <w:name w:val="WW8Num624z2"/>
    <w:qFormat/>
    <w:rPr>
      <w:rFonts w:ascii="Wingdings" w:hAnsi="Wingdings" w:cs="Wingdings"/>
    </w:rPr>
  </w:style>
  <w:style w:type="character" w:styleId="WW8Num626z0">
    <w:name w:val="WW8Num626z0"/>
    <w:qFormat/>
    <w:rPr/>
  </w:style>
  <w:style w:type="character" w:styleId="WW8Num627z0">
    <w:name w:val="WW8Num627z0"/>
    <w:qFormat/>
    <w:rPr>
      <w:rFonts w:ascii="Symbol" w:hAnsi="Symbol" w:cs="Symbol"/>
      <w:color w:val="auto"/>
      <w:sz w:val="20"/>
    </w:rPr>
  </w:style>
  <w:style w:type="character" w:styleId="WW8Num628z0">
    <w:name w:val="WW8Num628z0"/>
    <w:qFormat/>
    <w:rPr>
      <w:rFonts w:ascii="Symbol" w:hAnsi="Symbol" w:cs="Symbol"/>
    </w:rPr>
  </w:style>
  <w:style w:type="character" w:styleId="WW8Num629z0">
    <w:name w:val="WW8Num629z0"/>
    <w:qFormat/>
    <w:rPr/>
  </w:style>
  <w:style w:type="character" w:styleId="WW8Num631z0">
    <w:name w:val="WW8Num631z0"/>
    <w:qFormat/>
    <w:rPr>
      <w:rFonts w:ascii="Symbol" w:hAnsi="Symbol" w:cs="Symbol"/>
    </w:rPr>
  </w:style>
  <w:style w:type="character" w:styleId="WW8Num632z0">
    <w:name w:val="WW8Num632z0"/>
    <w:qFormat/>
    <w:rPr/>
  </w:style>
  <w:style w:type="character" w:styleId="WW8Num633z0">
    <w:name w:val="WW8Num633z0"/>
    <w:qFormat/>
    <w:rPr/>
  </w:style>
  <w:style w:type="character" w:styleId="WW8Num634z0">
    <w:name w:val="WW8Num634z0"/>
    <w:qFormat/>
    <w:rPr>
      <w:rFonts w:ascii="Times New Roman" w:hAnsi="Times New Roman" w:cs="Times New Roman"/>
      <w:b/>
      <w:i w:val="false"/>
      <w:sz w:val="24"/>
      <w:szCs w:val="24"/>
      <w:u w:val="none"/>
    </w:rPr>
  </w:style>
  <w:style w:type="character" w:styleId="WW8Num634z1">
    <w:name w:val="WW8Num634z1"/>
    <w:qFormat/>
    <w:rPr>
      <w:rFonts w:ascii="Times New Roman" w:hAnsi="Times New Roman" w:cs="Times New Roman"/>
      <w:b/>
      <w:i w:val="false"/>
      <w:sz w:val="24"/>
      <w:szCs w:val="24"/>
    </w:rPr>
  </w:style>
  <w:style w:type="character" w:styleId="WW8Num634z4">
    <w:name w:val="WW8Num634z4"/>
    <w:qFormat/>
    <w:rPr>
      <w:rFonts w:ascii="Times New Roman" w:hAnsi="Times New Roman" w:cs="Times New Roman"/>
      <w:b w:val="false"/>
      <w:i w:val="false"/>
      <w:sz w:val="24"/>
      <w:szCs w:val="24"/>
    </w:rPr>
  </w:style>
  <w:style w:type="character" w:styleId="WW8Num635z0">
    <w:name w:val="WW8Num635z0"/>
    <w:qFormat/>
    <w:rPr>
      <w:rFonts w:ascii="Times New Roman" w:hAnsi="Times New Roman" w:cs="Times New Roman"/>
      <w:b/>
      <w:i w:val="false"/>
      <w:sz w:val="24"/>
      <w:szCs w:val="24"/>
      <w:u w:val="none"/>
    </w:rPr>
  </w:style>
  <w:style w:type="character" w:styleId="WW8Num635z1">
    <w:name w:val="WW8Num635z1"/>
    <w:qFormat/>
    <w:rPr>
      <w:rFonts w:ascii="Times New Roman" w:hAnsi="Times New Roman" w:cs="Times New Roman"/>
      <w:b/>
      <w:i w:val="false"/>
      <w:sz w:val="24"/>
      <w:szCs w:val="24"/>
    </w:rPr>
  </w:style>
  <w:style w:type="character" w:styleId="WW8Num635z4">
    <w:name w:val="WW8Num635z4"/>
    <w:qFormat/>
    <w:rPr>
      <w:rFonts w:ascii="Times New Roman" w:hAnsi="Times New Roman" w:cs="Times New Roman"/>
      <w:b w:val="false"/>
      <w:i w:val="false"/>
      <w:sz w:val="24"/>
      <w:szCs w:val="24"/>
    </w:rPr>
  </w:style>
  <w:style w:type="character" w:styleId="WW8Num636z0">
    <w:name w:val="WW8Num636z0"/>
    <w:qFormat/>
    <w:rPr>
      <w:rFonts w:ascii="Symbol" w:hAnsi="Symbol" w:cs="Symbol"/>
    </w:rPr>
  </w:style>
  <w:style w:type="character" w:styleId="WW8Num637z0">
    <w:name w:val="WW8Num637z0"/>
    <w:qFormat/>
    <w:rPr>
      <w:rFonts w:ascii="Symbol" w:hAnsi="Symbol" w:cs="Symbol"/>
      <w:color w:val="000000"/>
      <w:sz w:val="18"/>
      <w:szCs w:val="18"/>
    </w:rPr>
  </w:style>
  <w:style w:type="character" w:styleId="WW8Num638z0">
    <w:name w:val="WW8Num638z0"/>
    <w:qFormat/>
    <w:rPr>
      <w:rFonts w:ascii="Symbol" w:hAnsi="Symbol" w:cs="Symbol"/>
    </w:rPr>
  </w:style>
  <w:style w:type="character" w:styleId="WW8Num638z1">
    <w:name w:val="WW8Num638z1"/>
    <w:qFormat/>
    <w:rPr>
      <w:rFonts w:ascii="Courier New" w:hAnsi="Courier New" w:cs="Courier New"/>
    </w:rPr>
  </w:style>
  <w:style w:type="character" w:styleId="WW8Num638z2">
    <w:name w:val="WW8Num638z2"/>
    <w:qFormat/>
    <w:rPr>
      <w:rFonts w:ascii="Wingdings" w:hAnsi="Wingdings" w:cs="Wingdings"/>
    </w:rPr>
  </w:style>
  <w:style w:type="character" w:styleId="WW8Num639z0">
    <w:name w:val="WW8Num639z0"/>
    <w:qFormat/>
    <w:rPr>
      <w:rFonts w:ascii="Symbol" w:hAnsi="Symbol" w:cs="Symbol"/>
    </w:rPr>
  </w:style>
  <w:style w:type="character" w:styleId="WW8Num640z0">
    <w:name w:val="WW8Num640z0"/>
    <w:qFormat/>
    <w:rPr/>
  </w:style>
  <w:style w:type="character" w:styleId="WW8Num641z0">
    <w:name w:val="WW8Num641z0"/>
    <w:qFormat/>
    <w:rPr/>
  </w:style>
  <w:style w:type="character" w:styleId="WW8Num642z0">
    <w:name w:val="WW8Num642z0"/>
    <w:qFormat/>
    <w:rPr>
      <w:rFonts w:ascii="Symbol" w:hAnsi="Symbol" w:cs="Symbol"/>
    </w:rPr>
  </w:style>
  <w:style w:type="character" w:styleId="WW8Num643z0">
    <w:name w:val="WW8Num643z0"/>
    <w:qFormat/>
    <w:rPr/>
  </w:style>
  <w:style w:type="character" w:styleId="WW8Num645z0">
    <w:name w:val="WW8Num645z0"/>
    <w:qFormat/>
    <w:rPr>
      <w:rFonts w:ascii="Times New Roman" w:hAnsi="Times New Roman" w:cs="Times New Roman"/>
      <w:b w:val="false"/>
      <w:i w:val="false"/>
      <w:sz w:val="24"/>
      <w:szCs w:val="24"/>
      <w:u w:val="none"/>
    </w:rPr>
  </w:style>
  <w:style w:type="character" w:styleId="WW8Num646z0">
    <w:name w:val="WW8Num646z0"/>
    <w:qFormat/>
    <w:rPr>
      <w:rFonts w:ascii="Times New Roman" w:hAnsi="Times New Roman" w:cs="Times New Roman"/>
    </w:rPr>
  </w:style>
  <w:style w:type="character" w:styleId="WW8Num648z0">
    <w:name w:val="WW8Num648z0"/>
    <w:qFormat/>
    <w:rPr/>
  </w:style>
  <w:style w:type="character" w:styleId="WW8Num650z0">
    <w:name w:val="WW8Num650z0"/>
    <w:qFormat/>
    <w:rPr>
      <w:b/>
    </w:rPr>
  </w:style>
  <w:style w:type="character" w:styleId="WW8Num650z4">
    <w:name w:val="WW8Num650z4"/>
    <w:qFormat/>
    <w:rPr/>
  </w:style>
  <w:style w:type="character" w:styleId="WW8Num651z0">
    <w:name w:val="WW8Num651z0"/>
    <w:qFormat/>
    <w:rPr/>
  </w:style>
  <w:style w:type="character" w:styleId="WW8Num652z0">
    <w:name w:val="WW8Num652z0"/>
    <w:qFormat/>
    <w:rPr>
      <w:rFonts w:ascii="Symbol" w:hAnsi="Symbol" w:cs="Symbol"/>
    </w:rPr>
  </w:style>
  <w:style w:type="character" w:styleId="WW8Num653z0">
    <w:name w:val="WW8Num653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style>
  <w:style w:type="character" w:styleId="WW8Num657z0">
    <w:name w:val="WW8Num657z0"/>
    <w:qFormat/>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1z0">
    <w:name w:val="WW8Num661z0"/>
    <w:qFormat/>
    <w:rPr>
      <w:rFonts w:ascii="Symbol" w:hAnsi="Symbol" w:cs="Symbol"/>
    </w:rPr>
  </w:style>
  <w:style w:type="character" w:styleId="WW8Num662z0">
    <w:name w:val="WW8Num662z0"/>
    <w:qFormat/>
    <w:rPr>
      <w:rFonts w:ascii="Symbol" w:hAnsi="Symbol" w:cs="Symbol"/>
    </w:rPr>
  </w:style>
  <w:style w:type="character" w:styleId="WW8Num663z0">
    <w:name w:val="WW8Num663z0"/>
    <w:qFormat/>
    <w:rPr>
      <w:rFonts w:ascii="Symbol" w:hAnsi="Symbol" w:cs="Symbol"/>
    </w:rPr>
  </w:style>
  <w:style w:type="character" w:styleId="WW8Num664z0">
    <w:name w:val="WW8Num664z0"/>
    <w:qFormat/>
    <w:rPr/>
  </w:style>
  <w:style w:type="character" w:styleId="WW8Num665z0">
    <w:name w:val="WW8Num665z0"/>
    <w:qFormat/>
    <w:rPr>
      <w:rFonts w:ascii="Symbol" w:hAnsi="Symbol" w:cs="Symbol"/>
    </w:rPr>
  </w:style>
  <w:style w:type="character" w:styleId="WW8Num666z0">
    <w:name w:val="WW8Num666z0"/>
    <w:qFormat/>
    <w:rPr>
      <w:rFonts w:ascii="Symbol" w:hAnsi="Symbol" w:cs="Symbol"/>
    </w:rPr>
  </w:style>
  <w:style w:type="character" w:styleId="WW8Num666z1">
    <w:name w:val="WW8Num666z1"/>
    <w:qFormat/>
    <w:rPr>
      <w:rFonts w:ascii="Times New Roman" w:hAnsi="Times New Roman" w:eastAsia="Times New Roman" w:cs="Times New Roman"/>
    </w:rPr>
  </w:style>
  <w:style w:type="character" w:styleId="WW8Num666z4">
    <w:name w:val="WW8Num666z4"/>
    <w:qFormat/>
    <w:rPr>
      <w:rFonts w:ascii="Courier New" w:hAnsi="Courier New" w:cs="Courier New"/>
    </w:rPr>
  </w:style>
  <w:style w:type="character" w:styleId="WW8Num666z5">
    <w:name w:val="WW8Num666z5"/>
    <w:qFormat/>
    <w:rPr>
      <w:rFonts w:ascii="Wingdings" w:hAnsi="Wingdings" w:cs="Wingdings"/>
    </w:rPr>
  </w:style>
  <w:style w:type="character" w:styleId="WW8Num667z0">
    <w:name w:val="WW8Num667z0"/>
    <w:qFormat/>
    <w:rPr>
      <w:rFonts w:ascii="Symbol" w:hAnsi="Symbol" w:cs="Symbol"/>
      <w:color w:val="000000"/>
      <w:sz w:val="18"/>
      <w:szCs w:val="18"/>
    </w:rPr>
  </w:style>
  <w:style w:type="character" w:styleId="WW8Num668z0">
    <w:name w:val="WW8Num668z0"/>
    <w:qFormat/>
    <w:rPr>
      <w:rFonts w:ascii="Symbol" w:hAnsi="Symbol" w:cs="Symbol"/>
    </w:rPr>
  </w:style>
  <w:style w:type="character" w:styleId="WW8Num670z0">
    <w:name w:val="WW8Num670z0"/>
    <w:qFormat/>
    <w:rPr/>
  </w:style>
  <w:style w:type="character" w:styleId="WW8Num671z0">
    <w:name w:val="WW8Num671z0"/>
    <w:qFormat/>
    <w:rPr>
      <w:rFonts w:ascii="Symbol" w:hAnsi="Symbol" w:cs="Symbol"/>
    </w:rPr>
  </w:style>
  <w:style w:type="character" w:styleId="WW8Num672z0">
    <w:name w:val="WW8Num672z0"/>
    <w:qFormat/>
    <w:rPr/>
  </w:style>
  <w:style w:type="character" w:styleId="WW8Num673z0">
    <w:name w:val="WW8Num673z0"/>
    <w:qFormat/>
    <w:rPr>
      <w:rFonts w:ascii="Times New Roman" w:hAnsi="Times New Roman" w:cs="Times New Roman"/>
      <w:b w:val="false"/>
      <w:i w:val="false"/>
      <w:sz w:val="24"/>
      <w:szCs w:val="24"/>
      <w:u w:val="none"/>
    </w:rPr>
  </w:style>
  <w:style w:type="character" w:styleId="WW8Num674z0">
    <w:name w:val="WW8Num674z0"/>
    <w:qFormat/>
    <w:rPr>
      <w:rFonts w:ascii="Symbol" w:hAnsi="Symbol" w:cs="Symbol"/>
    </w:rPr>
  </w:style>
  <w:style w:type="character" w:styleId="WW8Num676z0">
    <w:name w:val="WW8Num676z0"/>
    <w:qFormat/>
    <w:rPr>
      <w:rFonts w:ascii="Symbol" w:hAnsi="Symbol" w:cs="Symbol"/>
    </w:rPr>
  </w:style>
  <w:style w:type="character" w:styleId="WW8Num677z0">
    <w:name w:val="WW8Num677z0"/>
    <w:qFormat/>
    <w:rPr>
      <w:rFonts w:ascii="Symbol" w:hAnsi="Symbol" w:cs="Symbol"/>
    </w:rPr>
  </w:style>
  <w:style w:type="character" w:styleId="WW8Num679z0">
    <w:name w:val="WW8Num679z0"/>
    <w:qFormat/>
    <w:rPr/>
  </w:style>
  <w:style w:type="character" w:styleId="WW8Num680z0">
    <w:name w:val="WW8Num680z0"/>
    <w:qFormat/>
    <w:rPr>
      <w:rFonts w:ascii="Symbol" w:hAnsi="Symbol" w:cs="Symbol"/>
    </w:rPr>
  </w:style>
  <w:style w:type="character" w:styleId="WW8Num681z0">
    <w:name w:val="WW8Num681z0"/>
    <w:qFormat/>
    <w:rPr>
      <w:rFonts w:ascii="Symbol" w:hAnsi="Symbol" w:cs="Symbol"/>
    </w:rPr>
  </w:style>
  <w:style w:type="character" w:styleId="WW8Num682z0">
    <w:name w:val="WW8Num682z0"/>
    <w:qFormat/>
    <w:rPr/>
  </w:style>
  <w:style w:type="character" w:styleId="WW8Num683z0">
    <w:name w:val="WW8Num683z0"/>
    <w:qFormat/>
    <w:rPr>
      <w:rFonts w:ascii="Times New Roman" w:hAnsi="Times New Roman" w:cs="Times New Roman"/>
      <w:b w:val="false"/>
      <w:i w:val="false"/>
      <w:sz w:val="24"/>
      <w:szCs w:val="24"/>
      <w:u w:val="none"/>
    </w:rPr>
  </w:style>
  <w:style w:type="character" w:styleId="WW8Num684z0">
    <w:name w:val="WW8Num684z0"/>
    <w:qFormat/>
    <w:rPr>
      <w:rFonts w:ascii="Symbol" w:hAnsi="Symbol" w:cs="Symbol"/>
    </w:rPr>
  </w:style>
  <w:style w:type="character" w:styleId="WW8Num684z1">
    <w:name w:val="WW8Num684z1"/>
    <w:qFormat/>
    <w:rPr>
      <w:rFonts w:ascii="Courier New" w:hAnsi="Courier New" w:cs="Courier New"/>
    </w:rPr>
  </w:style>
  <w:style w:type="character" w:styleId="WW8Num684z2">
    <w:name w:val="WW8Num684z2"/>
    <w:qFormat/>
    <w:rPr>
      <w:rFonts w:ascii="Wingdings" w:hAnsi="Wingdings" w:cs="Wingdings"/>
    </w:rPr>
  </w:style>
  <w:style w:type="character" w:styleId="WW8Num685z0">
    <w:name w:val="WW8Num685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style>
  <w:style w:type="character" w:styleId="WW8Num690z0">
    <w:name w:val="WW8Num690z0"/>
    <w:qFormat/>
    <w:rPr/>
  </w:style>
  <w:style w:type="character" w:styleId="WW8Num691z0">
    <w:name w:val="WW8Num691z0"/>
    <w:qFormat/>
    <w:rPr>
      <w:rFonts w:ascii="Univers" w:hAnsi="Univers" w:cs="Univers"/>
      <w:b/>
      <w:i w:val="false"/>
    </w:rPr>
  </w:style>
  <w:style w:type="character" w:styleId="WW8Num691z1">
    <w:name w:val="WW8Num691z1"/>
    <w:qFormat/>
    <w:rPr>
      <w:rFonts w:ascii="Univers" w:hAnsi="Univers" w:cs="Univers"/>
      <w:b/>
      <w:i w:val="false"/>
      <w:sz w:val="24"/>
      <w:szCs w:val="24"/>
    </w:rPr>
  </w:style>
  <w:style w:type="character" w:styleId="WW8Num691z8">
    <w:name w:val="WW8Num691z8"/>
    <w:qFormat/>
    <w:rPr>
      <w:rFonts w:ascii="Univers" w:hAnsi="Univers" w:cs="Univers"/>
      <w:b w:val="false"/>
      <w:i w:val="false"/>
      <w:sz w:val="24"/>
      <w:szCs w:val="24"/>
    </w:rPr>
  </w:style>
  <w:style w:type="character" w:styleId="WW8Num692z0">
    <w:name w:val="WW8Num692z0"/>
    <w:qFormat/>
    <w:rPr>
      <w:rFonts w:ascii="Symbol" w:hAnsi="Symbol" w:cs="Symbol"/>
    </w:rPr>
  </w:style>
  <w:style w:type="character" w:styleId="WW8Num696z0">
    <w:name w:val="WW8Num696z0"/>
    <w:qFormat/>
    <w:rPr>
      <w:rFonts w:ascii="Symbol" w:hAnsi="Symbol" w:cs="Symbol"/>
    </w:rPr>
  </w:style>
  <w:style w:type="character" w:styleId="WW8Num697z0">
    <w:name w:val="WW8Num697z0"/>
    <w:qFormat/>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1z0">
    <w:name w:val="WW8Num701z0"/>
    <w:qFormat/>
    <w:rPr>
      <w:rFonts w:ascii="Marlett" w:hAnsi="Marlett" w:cs="Marlett"/>
      <w:b/>
      <w:i w:val="false"/>
    </w:rPr>
  </w:style>
  <w:style w:type="character" w:styleId="WW8Num702z0">
    <w:name w:val="WW8Num702z0"/>
    <w:qFormat/>
    <w:rPr>
      <w:rFonts w:ascii="Symbol" w:hAnsi="Symbol" w:cs="Symbol"/>
    </w:rPr>
  </w:style>
  <w:style w:type="character" w:styleId="WW8Num703z0">
    <w:name w:val="WW8Num703z0"/>
    <w:qFormat/>
    <w:rPr>
      <w:rFonts w:ascii="Symbol" w:hAnsi="Symbol" w:cs="Symbol"/>
    </w:rPr>
  </w:style>
  <w:style w:type="character" w:styleId="WW8Num704z0">
    <w:name w:val="WW8Num704z0"/>
    <w:qFormat/>
    <w:rPr/>
  </w:style>
  <w:style w:type="character" w:styleId="WW8Num706z0">
    <w:name w:val="WW8Num706z0"/>
    <w:qFormat/>
    <w:rPr>
      <w:rFonts w:ascii="Symbol" w:hAnsi="Symbol" w:cs="Symbol"/>
      <w:color w:val="auto"/>
    </w:rPr>
  </w:style>
  <w:style w:type="character" w:styleId="WW8Num707z0">
    <w:name w:val="WW8Num707z0"/>
    <w:qFormat/>
    <w:rPr>
      <w:rFonts w:ascii="Symbol" w:hAnsi="Symbol" w:cs="Symbol"/>
    </w:rPr>
  </w:style>
  <w:style w:type="character" w:styleId="WW8Num707z1">
    <w:name w:val="WW8Num707z1"/>
    <w:qFormat/>
    <w:rPr>
      <w:rFonts w:ascii="Courier New" w:hAnsi="Courier New" w:cs="Courier New"/>
    </w:rPr>
  </w:style>
  <w:style w:type="character" w:styleId="WW8Num707z2">
    <w:name w:val="WW8Num707z2"/>
    <w:qFormat/>
    <w:rPr>
      <w:rFonts w:ascii="Wingdings" w:hAnsi="Wingdings" w:cs="Wingdings"/>
    </w:rPr>
  </w:style>
  <w:style w:type="character" w:styleId="WW8Num708z0">
    <w:name w:val="WW8Num708z0"/>
    <w:qFormat/>
    <w:rPr>
      <w:rFonts w:ascii="Symbol" w:hAnsi="Symbol" w:cs="Symbol"/>
    </w:rPr>
  </w:style>
  <w:style w:type="character" w:styleId="WW8Num708z1">
    <w:name w:val="WW8Num708z1"/>
    <w:qFormat/>
    <w:rPr>
      <w:rFonts w:ascii="Courier New" w:hAnsi="Courier New" w:cs="Courier New"/>
    </w:rPr>
  </w:style>
  <w:style w:type="character" w:styleId="WW8Num708z2">
    <w:name w:val="WW8Num708z2"/>
    <w:qFormat/>
    <w:rPr>
      <w:rFonts w:ascii="Wingdings" w:hAnsi="Wingdings" w:cs="Wingdings"/>
    </w:rPr>
  </w:style>
  <w:style w:type="character" w:styleId="WW8Num709z0">
    <w:name w:val="WW8Num709z0"/>
    <w:qFormat/>
    <w:rPr/>
  </w:style>
  <w:style w:type="character" w:styleId="WW8Num710z0">
    <w:name w:val="WW8Num710z0"/>
    <w:qFormat/>
    <w:rPr/>
  </w:style>
  <w:style w:type="character" w:styleId="WW8Num711z0">
    <w:name w:val="WW8Num711z0"/>
    <w:qFormat/>
    <w:rPr>
      <w:b w:val="false"/>
      <w:i w:val="false"/>
      <w:u w:val="none"/>
    </w:rPr>
  </w:style>
  <w:style w:type="character" w:styleId="WW8Num712z0">
    <w:name w:val="WW8Num712z0"/>
    <w:qFormat/>
    <w:rPr/>
  </w:style>
  <w:style w:type="character" w:styleId="WW8Num713z0">
    <w:name w:val="WW8Num713z0"/>
    <w:qFormat/>
    <w:rPr>
      <w:rFonts w:ascii="Symbol" w:hAnsi="Symbol" w:cs="Symbol"/>
      <w:color w:val="auto"/>
    </w:rPr>
  </w:style>
  <w:style w:type="character" w:styleId="WW8Num714z0">
    <w:name w:val="WW8Num714z0"/>
    <w:qFormat/>
    <w:rPr>
      <w:rFonts w:ascii="Symbol" w:hAnsi="Symbol" w:cs="Symbol"/>
    </w:rPr>
  </w:style>
  <w:style w:type="character" w:styleId="WW8Num715z0">
    <w:name w:val="WW8Num715z0"/>
    <w:qFormat/>
    <w:rPr>
      <w:rFonts w:ascii="Symbol" w:hAnsi="Symbol" w:cs="Symbol"/>
      <w:color w:val="auto"/>
    </w:rPr>
  </w:style>
  <w:style w:type="character" w:styleId="WW8Num716z0">
    <w:name w:val="WW8Num716z0"/>
    <w:qFormat/>
    <w:rPr>
      <w:rFonts w:ascii="Symbol" w:hAnsi="Symbol" w:cs="Symbol"/>
    </w:rPr>
  </w:style>
  <w:style w:type="character" w:styleId="WW8Num718z0">
    <w:name w:val="WW8Num718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style>
  <w:style w:type="character" w:styleId="WW8Num721z0">
    <w:name w:val="WW8Num721z0"/>
    <w:qFormat/>
    <w:rPr/>
  </w:style>
  <w:style w:type="character" w:styleId="WW8Num723z0">
    <w:name w:val="WW8Num723z0"/>
    <w:qFormat/>
    <w:rPr>
      <w:rFonts w:ascii="Symbol" w:hAnsi="Symbol" w:cs="Symbol"/>
    </w:rPr>
  </w:style>
  <w:style w:type="character" w:styleId="WW8Num724z0">
    <w:name w:val="WW8Num724z0"/>
    <w:qFormat/>
    <w:rPr>
      <w:rFonts w:ascii="Symbol" w:hAnsi="Symbol" w:cs="Symbol"/>
      <w:color w:val="000000"/>
      <w:sz w:val="18"/>
      <w:szCs w:val="18"/>
    </w:rPr>
  </w:style>
  <w:style w:type="character" w:styleId="WW8Num727z0">
    <w:name w:val="WW8Num727z0"/>
    <w:qFormat/>
    <w:rPr/>
  </w:style>
  <w:style w:type="character" w:styleId="WW8Num729z0">
    <w:name w:val="WW8Num729z0"/>
    <w:qFormat/>
    <w:rPr/>
  </w:style>
  <w:style w:type="character" w:styleId="WW8Num730z0">
    <w:name w:val="WW8Num730z0"/>
    <w:qFormat/>
    <w:rPr>
      <w:rFonts w:ascii="Symbol" w:hAnsi="Symbol" w:cs="Symbol"/>
    </w:rPr>
  </w:style>
  <w:style w:type="character" w:styleId="WW8Num731z0">
    <w:name w:val="WW8Num731z0"/>
    <w:qFormat/>
    <w:rPr>
      <w:rFonts w:ascii="Symbol" w:hAnsi="Symbol" w:cs="Symbol"/>
      <w:color w:val="auto"/>
    </w:rPr>
  </w:style>
  <w:style w:type="character" w:styleId="WW8Num732z0">
    <w:name w:val="WW8Num732z0"/>
    <w:qFormat/>
    <w:rPr/>
  </w:style>
  <w:style w:type="character" w:styleId="WW8Num733z0">
    <w:name w:val="WW8Num733z0"/>
    <w:qFormat/>
    <w:rPr>
      <w:rFonts w:ascii="Symbol" w:hAnsi="Symbol" w:cs="Symbol"/>
      <w:color w:val="auto"/>
      <w:sz w:val="20"/>
    </w:rPr>
  </w:style>
  <w:style w:type="character" w:styleId="WW8Num735z0">
    <w:name w:val="WW8Num735z0"/>
    <w:qFormat/>
    <w:rPr/>
  </w:style>
  <w:style w:type="character" w:styleId="WW8Num736z0">
    <w:name w:val="WW8Num736z0"/>
    <w:qFormat/>
    <w:rPr>
      <w:rFonts w:ascii="Symbol" w:hAnsi="Symbol" w:cs="Symbol"/>
    </w:rPr>
  </w:style>
  <w:style w:type="character" w:styleId="WW8Num737z0">
    <w:name w:val="WW8Num737z0"/>
    <w:qFormat/>
    <w:rPr>
      <w:rFonts w:ascii="Symbol" w:hAnsi="Symbol" w:cs="Symbol"/>
    </w:rPr>
  </w:style>
  <w:style w:type="character" w:styleId="WW8Num737z1">
    <w:name w:val="WW8Num737z1"/>
    <w:qFormat/>
    <w:rPr>
      <w:rFonts w:ascii="Courier New" w:hAnsi="Courier New" w:cs="Courier New"/>
    </w:rPr>
  </w:style>
  <w:style w:type="character" w:styleId="WW8Num737z5">
    <w:name w:val="WW8Num737z5"/>
    <w:qFormat/>
    <w:rPr>
      <w:rFonts w:ascii="Wingdings" w:hAnsi="Wingdings" w:cs="Wingdings"/>
    </w:rPr>
  </w:style>
  <w:style w:type="character" w:styleId="WW8Num739z0">
    <w:name w:val="WW8Num739z0"/>
    <w:qFormat/>
    <w:rPr>
      <w:rFonts w:ascii="Times New Roman" w:hAnsi="Times New Roman" w:cs="Times New Roman"/>
    </w:rPr>
  </w:style>
  <w:style w:type="character" w:styleId="WW8Num740z0">
    <w:name w:val="WW8Num740z0"/>
    <w:qFormat/>
    <w:rPr>
      <w:rFonts w:ascii="Symbol" w:hAnsi="Symbol" w:cs="Symbol"/>
    </w:rPr>
  </w:style>
  <w:style w:type="character" w:styleId="WW8Num741z0">
    <w:name w:val="WW8Num741z0"/>
    <w:qFormat/>
    <w:rPr>
      <w:rFonts w:ascii="Symbol" w:hAnsi="Symbol" w:cs="Symbol"/>
    </w:rPr>
  </w:style>
  <w:style w:type="character" w:styleId="WW8Num742z0">
    <w:name w:val="WW8Num742z0"/>
    <w:qFormat/>
    <w:rPr>
      <w:rFonts w:ascii="Symbol" w:hAnsi="Symbol" w:cs="Symbol"/>
    </w:rPr>
  </w:style>
  <w:style w:type="character" w:styleId="WW8Num743z0">
    <w:name w:val="WW8Num743z0"/>
    <w:qFormat/>
    <w:rPr>
      <w:rFonts w:ascii="Symbol" w:hAnsi="Symbol" w:cs="Symbol"/>
    </w:rPr>
  </w:style>
  <w:style w:type="character" w:styleId="WW8Num744z0">
    <w:name w:val="WW8Num744z0"/>
    <w:qFormat/>
    <w:rPr>
      <w:rFonts w:ascii="Times New Roman" w:hAnsi="Times New Roman" w:cs="Times New Roman"/>
      <w:sz w:val="32"/>
    </w:rPr>
  </w:style>
  <w:style w:type="character" w:styleId="WW8Num745z0">
    <w:name w:val="WW8Num745z0"/>
    <w:qFormat/>
    <w:rPr>
      <w:rFonts w:ascii="Symbol" w:hAnsi="Symbol" w:cs="Symbol"/>
    </w:rPr>
  </w:style>
  <w:style w:type="character" w:styleId="WW8Num746z0">
    <w:name w:val="WW8Num746z0"/>
    <w:qFormat/>
    <w:rPr>
      <w:rFonts w:ascii="Symbol" w:hAnsi="Symbol" w:cs="Symbol"/>
      <w:color w:val="auto"/>
      <w:sz w:val="18"/>
    </w:rPr>
  </w:style>
  <w:style w:type="character" w:styleId="WW8Num747z0">
    <w:name w:val="WW8Num747z0"/>
    <w:qFormat/>
    <w:rPr/>
  </w:style>
  <w:style w:type="character" w:styleId="WW8Num748z0">
    <w:name w:val="WW8Num748z0"/>
    <w:qFormat/>
    <w:rPr>
      <w:rFonts w:ascii="Symbol" w:hAnsi="Symbol" w:cs="Symbol"/>
    </w:rPr>
  </w:style>
  <w:style w:type="character" w:styleId="WW8Num749z0">
    <w:name w:val="WW8Num749z0"/>
    <w:qFormat/>
    <w:rPr/>
  </w:style>
  <w:style w:type="character" w:styleId="WW8Num750z0">
    <w:name w:val="WW8Num750z0"/>
    <w:qFormat/>
    <w:rPr/>
  </w:style>
  <w:style w:type="character" w:styleId="WW8Num752z0">
    <w:name w:val="WW8Num752z0"/>
    <w:qFormat/>
    <w:rPr>
      <w:rFonts w:ascii="Symbol" w:hAnsi="Symbol" w:cs="Symbol"/>
    </w:rPr>
  </w:style>
  <w:style w:type="character" w:styleId="WW8Num753z0">
    <w:name w:val="WW8Num753z0"/>
    <w:qFormat/>
    <w:rPr/>
  </w:style>
  <w:style w:type="character" w:styleId="WW8Num754z0">
    <w:name w:val="WW8Num754z0"/>
    <w:qFormat/>
    <w:rPr/>
  </w:style>
  <w:style w:type="character" w:styleId="WW8Num755z0">
    <w:name w:val="WW8Num755z0"/>
    <w:qFormat/>
    <w:rPr>
      <w:rFonts w:ascii="Symbol" w:hAnsi="Symbol" w:cs="Symbol"/>
    </w:rPr>
  </w:style>
  <w:style w:type="character" w:styleId="WW8Num755z1">
    <w:name w:val="WW8Num755z1"/>
    <w:qFormat/>
    <w:rPr>
      <w:rFonts w:ascii="Courier New" w:hAnsi="Courier New" w:cs="Courier New"/>
    </w:rPr>
  </w:style>
  <w:style w:type="character" w:styleId="WW8Num755z2">
    <w:name w:val="WW8Num755z2"/>
    <w:qFormat/>
    <w:rPr>
      <w:rFonts w:ascii="Wingdings" w:hAnsi="Wingdings" w:cs="Wingdings"/>
    </w:rPr>
  </w:style>
  <w:style w:type="character" w:styleId="WW8Num756z0">
    <w:name w:val="WW8Num756z0"/>
    <w:qFormat/>
    <w:rPr/>
  </w:style>
  <w:style w:type="character" w:styleId="WW8Num757z0">
    <w:name w:val="WW8Num757z0"/>
    <w:qFormat/>
    <w:rPr>
      <w:rFonts w:ascii="Symbol" w:hAnsi="Symbol" w:cs="Symbol"/>
    </w:rPr>
  </w:style>
  <w:style w:type="character" w:styleId="WW8Num760z0">
    <w:name w:val="WW8Num760z0"/>
    <w:qFormat/>
    <w:rPr/>
  </w:style>
  <w:style w:type="character" w:styleId="WW8Num761z0">
    <w:name w:val="WW8Num761z0"/>
    <w:qFormat/>
    <w:rPr>
      <w:rFonts w:ascii="Wingdings" w:hAnsi="Wingdings" w:cs="Wingdings"/>
      <w:sz w:val="16"/>
    </w:rPr>
  </w:style>
  <w:style w:type="character" w:styleId="WW8Num762z0">
    <w:name w:val="WW8Num762z0"/>
    <w:qFormat/>
    <w:rPr>
      <w:rFonts w:ascii="Times New Roman" w:hAnsi="Times New Roman" w:cs="Times New Roman"/>
      <w:b/>
      <w:i w:val="false"/>
      <w:sz w:val="22"/>
    </w:rPr>
  </w:style>
  <w:style w:type="character" w:styleId="WW8Num762z2">
    <w:name w:val="WW8Num762z2"/>
    <w:qFormat/>
    <w:rPr>
      <w:rFonts w:ascii="Symbol" w:hAnsi="Symbol" w:cs="Symbol"/>
      <w:b/>
      <w:i w:val="false"/>
      <w:color w:val="auto"/>
      <w:sz w:val="22"/>
    </w:rPr>
  </w:style>
  <w:style w:type="character" w:styleId="WW8Num764z0">
    <w:name w:val="WW8Num764z0"/>
    <w:qFormat/>
    <w:rPr/>
  </w:style>
  <w:style w:type="character" w:styleId="WW8Num765z0">
    <w:name w:val="WW8Num765z0"/>
    <w:qFormat/>
    <w:rPr/>
  </w:style>
  <w:style w:type="character" w:styleId="WW8Num769z0">
    <w:name w:val="WW8Num769z0"/>
    <w:qFormat/>
    <w:rPr>
      <w:rFonts w:ascii="Symbol" w:hAnsi="Symbol" w:cs="Symbol"/>
      <w:color w:val="auto"/>
    </w:rPr>
  </w:style>
  <w:style w:type="character" w:styleId="WW8Num770z0">
    <w:name w:val="WW8Num770z0"/>
    <w:qFormat/>
    <w:rPr>
      <w:rFonts w:ascii="Symbol" w:hAnsi="Symbol" w:cs="Symbol"/>
      <w:color w:val="auto"/>
    </w:rPr>
  </w:style>
  <w:style w:type="character" w:styleId="WW8Num772z0">
    <w:name w:val="WW8Num772z0"/>
    <w:qFormat/>
    <w:rPr>
      <w:rFonts w:ascii="Univers" w:hAnsi="Univers" w:cs="Univers"/>
      <w:b/>
      <w:i w:val="false"/>
      <w:sz w:val="28"/>
      <w:szCs w:val="28"/>
    </w:rPr>
  </w:style>
  <w:style w:type="character" w:styleId="WW8Num772z1">
    <w:name w:val="WW8Num772z1"/>
    <w:qFormat/>
    <w:rPr>
      <w:rFonts w:ascii="Univers" w:hAnsi="Univers" w:cs="Univers"/>
      <w:b/>
      <w:i w:val="false"/>
      <w:sz w:val="24"/>
      <w:szCs w:val="24"/>
    </w:rPr>
  </w:style>
  <w:style w:type="character" w:styleId="WW8Num772z8">
    <w:name w:val="WW8Num772z8"/>
    <w:qFormat/>
    <w:rPr>
      <w:rFonts w:ascii="Univers" w:hAnsi="Univers" w:cs="Univers"/>
      <w:b w:val="false"/>
      <w:i w:val="false"/>
      <w:sz w:val="24"/>
      <w:szCs w:val="24"/>
    </w:rPr>
  </w:style>
  <w:style w:type="character" w:styleId="WW8Num773z0">
    <w:name w:val="WW8Num773z0"/>
    <w:qFormat/>
    <w:rPr>
      <w:rFonts w:ascii="Marlett" w:hAnsi="Marlett" w:cs="Marlett"/>
      <w:b/>
      <w:i w:val="false"/>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7z1">
    <w:name w:val="WW8Num777z1"/>
    <w:qFormat/>
    <w:rPr>
      <w:rFonts w:ascii="Courier New" w:hAnsi="Courier New" w:cs="Courier New"/>
    </w:rPr>
  </w:style>
  <w:style w:type="character" w:styleId="WW8Num777z2">
    <w:name w:val="WW8Num777z2"/>
    <w:qFormat/>
    <w:rPr>
      <w:rFonts w:ascii="Wingdings" w:hAnsi="Wingdings" w:cs="Wingdings"/>
    </w:rPr>
  </w:style>
  <w:style w:type="character" w:styleId="WW8Num778z0">
    <w:name w:val="WW8Num778z0"/>
    <w:qFormat/>
    <w:rPr>
      <w:rFonts w:ascii="Symbol" w:hAnsi="Symbol" w:cs="Symbol"/>
    </w:rPr>
  </w:style>
  <w:style w:type="character" w:styleId="WW8Num779z0">
    <w:name w:val="WW8Num779z0"/>
    <w:qFormat/>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2z1">
    <w:name w:val="WW8Num782z1"/>
    <w:qFormat/>
    <w:rPr>
      <w:rFonts w:ascii="Courier New" w:hAnsi="Courier New" w:cs="Courier New"/>
    </w:rPr>
  </w:style>
  <w:style w:type="character" w:styleId="WW8Num782z2">
    <w:name w:val="WW8Num782z2"/>
    <w:qFormat/>
    <w:rPr>
      <w:rFonts w:ascii="Wingdings" w:hAnsi="Wingdings" w:cs="Wingdings"/>
    </w:rPr>
  </w:style>
  <w:style w:type="character" w:styleId="WW8Num783z0">
    <w:name w:val="WW8Num783z0"/>
    <w:qFormat/>
    <w:rPr/>
  </w:style>
  <w:style w:type="character" w:styleId="WW8Num784z0">
    <w:name w:val="WW8Num784z0"/>
    <w:qFormat/>
    <w:rPr>
      <w:rFonts w:ascii="Symbol" w:hAnsi="Symbol" w:cs="Symbol"/>
    </w:rPr>
  </w:style>
  <w:style w:type="character" w:styleId="WW8Num785z0">
    <w:name w:val="WW8Num785z0"/>
    <w:qFormat/>
    <w:rPr>
      <w:rFonts w:ascii="Symbol" w:hAnsi="Symbol" w:cs="Symbol"/>
      <w:color w:val="auto"/>
    </w:rPr>
  </w:style>
  <w:style w:type="character" w:styleId="WW8Num786z0">
    <w:name w:val="WW8Num786z0"/>
    <w:qFormat/>
    <w:rPr>
      <w:rFonts w:ascii="Marlett" w:hAnsi="Marlett" w:cs="Marlett"/>
    </w:rPr>
  </w:style>
  <w:style w:type="character" w:styleId="WW8Num788z0">
    <w:name w:val="WW8Num788z0"/>
    <w:qFormat/>
    <w:rPr/>
  </w:style>
  <w:style w:type="character" w:styleId="WW8Num789z0">
    <w:name w:val="WW8Num789z0"/>
    <w:qFormat/>
    <w:rPr>
      <w:rFonts w:ascii="Symbol" w:hAnsi="Symbol" w:cs="Symbol"/>
    </w:rPr>
  </w:style>
  <w:style w:type="character" w:styleId="WW8Num790z0">
    <w:name w:val="WW8Num790z0"/>
    <w:qFormat/>
    <w:rPr>
      <w:b/>
    </w:rPr>
  </w:style>
  <w:style w:type="character" w:styleId="WW8Num790z4">
    <w:name w:val="WW8Num790z4"/>
    <w:qFormat/>
    <w:rPr/>
  </w:style>
  <w:style w:type="character" w:styleId="WW8Num792z0">
    <w:name w:val="WW8Num792z0"/>
    <w:qFormat/>
    <w:rPr>
      <w:rFonts w:ascii="Symbol" w:hAnsi="Symbol" w:cs="Symbol"/>
    </w:rPr>
  </w:style>
  <w:style w:type="character" w:styleId="WW8Num793z0">
    <w:name w:val="WW8Num793z0"/>
    <w:qFormat/>
    <w:rPr/>
  </w:style>
  <w:style w:type="character" w:styleId="WW8Num794z0">
    <w:name w:val="WW8Num794z0"/>
    <w:qFormat/>
    <w:rPr>
      <w:rFonts w:ascii="Wingdings" w:hAnsi="Wingdings" w:cs="Wingdings"/>
    </w:rPr>
  </w:style>
  <w:style w:type="character" w:styleId="WW8Num795z0">
    <w:name w:val="WW8Num795z0"/>
    <w:qFormat/>
    <w:rPr>
      <w:rFonts w:ascii="Symbol" w:hAnsi="Symbol" w:cs="Symbol"/>
      <w:color w:val="auto"/>
      <w:sz w:val="20"/>
    </w:rPr>
  </w:style>
  <w:style w:type="character" w:styleId="WW8Num796z0">
    <w:name w:val="WW8Num796z0"/>
    <w:qFormat/>
    <w:rPr/>
  </w:style>
  <w:style w:type="character" w:styleId="WW8Num797z1">
    <w:name w:val="WW8Num797z1"/>
    <w:qFormat/>
    <w:rPr/>
  </w:style>
  <w:style w:type="character" w:styleId="WW8Num798z0">
    <w:name w:val="WW8Num798z0"/>
    <w:qFormat/>
    <w:rPr>
      <w:rFonts w:ascii="Symbol" w:hAnsi="Symbol" w:cs="Symbol"/>
    </w:rPr>
  </w:style>
  <w:style w:type="character" w:styleId="WW8Num799z0">
    <w:name w:val="WW8Num799z0"/>
    <w:qFormat/>
    <w:rPr>
      <w:rFonts w:ascii="Symbol" w:hAnsi="Symbol" w:cs="Symbol"/>
      <w:color w:val="000000"/>
      <w:sz w:val="18"/>
      <w:szCs w:val="18"/>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2z0">
    <w:name w:val="WW8Num802z0"/>
    <w:qFormat/>
    <w:rPr/>
  </w:style>
  <w:style w:type="character" w:styleId="WW8Num803z0">
    <w:name w:val="WW8Num803z0"/>
    <w:qFormat/>
    <w:rPr>
      <w:rFonts w:ascii="Times New Roman" w:hAnsi="Times New Roman" w:cs="Times New Roman"/>
      <w:b/>
      <w:i w:val="false"/>
    </w:rPr>
  </w:style>
  <w:style w:type="character" w:styleId="WW8Num804z0">
    <w:name w:val="WW8Num804z0"/>
    <w:qFormat/>
    <w:rPr>
      <w:rFonts w:ascii="Wingdings" w:hAnsi="Wingdings" w:cs="Wingdings"/>
    </w:rPr>
  </w:style>
  <w:style w:type="character" w:styleId="WW8Num805z0">
    <w:name w:val="WW8Num805z0"/>
    <w:qFormat/>
    <w:rPr/>
  </w:style>
  <w:style w:type="character" w:styleId="WW8Num806z0">
    <w:name w:val="WW8Num806z0"/>
    <w:qFormat/>
    <w:rPr>
      <w:rFonts w:ascii="Symbol" w:hAnsi="Symbol" w:cs="Symbol"/>
    </w:rPr>
  </w:style>
  <w:style w:type="character" w:styleId="WW8Num807z0">
    <w:name w:val="WW8Num807z0"/>
    <w:qFormat/>
    <w:rPr/>
  </w:style>
  <w:style w:type="character" w:styleId="WW8Num810z0">
    <w:name w:val="WW8Num810z0"/>
    <w:qFormat/>
    <w:rPr>
      <w:rFonts w:ascii="Wingdings" w:hAnsi="Wingdings" w:cs="Wingdings"/>
      <w:sz w:val="16"/>
    </w:rPr>
  </w:style>
  <w:style w:type="character" w:styleId="WW8Num811z0">
    <w:name w:val="WW8Num811z0"/>
    <w:qFormat/>
    <w:rPr>
      <w:b w:val="false"/>
      <w:i w:val="false"/>
      <w:u w:val="none"/>
    </w:rPr>
  </w:style>
  <w:style w:type="character" w:styleId="WW8Num812z0">
    <w:name w:val="WW8Num812z0"/>
    <w:qFormat/>
    <w:rPr>
      <w:rFonts w:ascii="Symbol" w:hAnsi="Symbol" w:cs="Symbol"/>
    </w:rPr>
  </w:style>
  <w:style w:type="character" w:styleId="WW8Num813z0">
    <w:name w:val="WW8Num813z0"/>
    <w:qFormat/>
    <w:rPr>
      <w:rFonts w:ascii="Times New Roman" w:hAnsi="Times New Roman" w:cs="Times New Roman"/>
    </w:rPr>
  </w:style>
  <w:style w:type="character" w:styleId="WW8Num814z0">
    <w:name w:val="WW8Num814z0"/>
    <w:qFormat/>
    <w:rPr>
      <w:rFonts w:ascii="Symbol" w:hAnsi="Symbol" w:cs="Symbol"/>
    </w:rPr>
  </w:style>
  <w:style w:type="character" w:styleId="WW8Num816z0">
    <w:name w:val="WW8Num816z0"/>
    <w:qFormat/>
    <w:rPr>
      <w:u w:val="none"/>
    </w:rPr>
  </w:style>
  <w:style w:type="character" w:styleId="WW8Num817z0">
    <w:name w:val="WW8Num817z0"/>
    <w:qFormat/>
    <w:rPr>
      <w:rFonts w:ascii="Symbol" w:hAnsi="Symbol" w:cs="Symbol"/>
    </w:rPr>
  </w:style>
  <w:style w:type="character" w:styleId="WW8Num818z0">
    <w:name w:val="WW8Num818z0"/>
    <w:qFormat/>
    <w:rPr>
      <w:rFonts w:ascii="Wingdings" w:hAnsi="Wingdings" w:cs="Wingdings"/>
      <w:sz w:val="16"/>
    </w:rPr>
  </w:style>
  <w:style w:type="character" w:styleId="WW8Num819z0">
    <w:name w:val="WW8Num819z0"/>
    <w:qFormat/>
    <w:rPr>
      <w:rFonts w:ascii="Symbol" w:hAnsi="Symbol" w:cs="Symbol"/>
    </w:rPr>
  </w:style>
  <w:style w:type="character" w:styleId="WW8Num820z0">
    <w:name w:val="WW8Num820z0"/>
    <w:qFormat/>
    <w:rPr>
      <w:rFonts w:ascii="Symbol" w:hAnsi="Symbol" w:cs="Symbol"/>
      <w:color w:val="000000"/>
      <w:sz w:val="18"/>
      <w:szCs w:val="18"/>
    </w:rPr>
  </w:style>
  <w:style w:type="character" w:styleId="WW8Num821z0">
    <w:name w:val="WW8Num821z0"/>
    <w:qFormat/>
    <w:rPr>
      <w:rFonts w:ascii="Symbol" w:hAnsi="Symbol" w:cs="Symbol"/>
    </w:rPr>
  </w:style>
  <w:style w:type="character" w:styleId="WW8Num822z0">
    <w:name w:val="WW8Num822z0"/>
    <w:qFormat/>
    <w:rPr/>
  </w:style>
  <w:style w:type="character" w:styleId="WW8Num823z0">
    <w:name w:val="WW8Num823z0"/>
    <w:qFormat/>
    <w:rPr>
      <w:rFonts w:ascii="Symbol" w:hAnsi="Symbol" w:cs="Symbol"/>
    </w:rPr>
  </w:style>
  <w:style w:type="character" w:styleId="WW8Num824z0">
    <w:name w:val="WW8Num824z0"/>
    <w:qFormat/>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rFonts w:ascii="Symbol" w:hAnsi="Symbol" w:cs="Symbol"/>
    </w:rPr>
  </w:style>
  <w:style w:type="character" w:styleId="WW8Num828z0">
    <w:name w:val="WW8Num828z0"/>
    <w:qFormat/>
    <w:rPr>
      <w:rFonts w:ascii="Symbol" w:hAnsi="Symbol" w:cs="Symbol"/>
    </w:rPr>
  </w:style>
  <w:style w:type="character" w:styleId="WW8Num830z0">
    <w:name w:val="WW8Num830z0"/>
    <w:qFormat/>
    <w:rPr>
      <w:rFonts w:ascii="Symbol" w:hAnsi="Symbol" w:cs="Symbol"/>
      <w:color w:val="auto"/>
    </w:rPr>
  </w:style>
  <w:style w:type="character" w:styleId="WW8Num831z0">
    <w:name w:val="WW8Num831z0"/>
    <w:qFormat/>
    <w:rPr>
      <w:rFonts w:ascii="Symbol" w:hAnsi="Symbol" w:cs="Symbol"/>
      <w:color w:val="auto"/>
      <w:sz w:val="20"/>
    </w:rPr>
  </w:style>
  <w:style w:type="character" w:styleId="WW8Num832z0">
    <w:name w:val="WW8Num832z0"/>
    <w:qFormat/>
    <w:rPr>
      <w:rFonts w:ascii="Symbol" w:hAnsi="Symbol" w:cs="Symbol"/>
    </w:rPr>
  </w:style>
  <w:style w:type="character" w:styleId="WW8Num833z0">
    <w:name w:val="WW8Num833z0"/>
    <w:qFormat/>
    <w:rPr>
      <w:rFonts w:ascii="Symbol" w:hAnsi="Symbol" w:cs="Symbol"/>
    </w:rPr>
  </w:style>
  <w:style w:type="character" w:styleId="WW8Num835z0">
    <w:name w:val="WW8Num835z0"/>
    <w:qFormat/>
    <w:rPr>
      <w:rFonts w:ascii="Symbol" w:hAnsi="Symbol" w:cs="Symbol"/>
    </w:rPr>
  </w:style>
  <w:style w:type="character" w:styleId="WW8Num836z0">
    <w:name w:val="WW8Num836z0"/>
    <w:qFormat/>
    <w:rPr>
      <w:b/>
    </w:rPr>
  </w:style>
  <w:style w:type="character" w:styleId="WW8Num836z1">
    <w:name w:val="WW8Num836z1"/>
    <w:qFormat/>
    <w:rPr>
      <w:rFonts w:ascii="CG Times" w:hAnsi="CG Times" w:cs="CG Times"/>
      <w:b/>
      <w:i w:val="false"/>
      <w:sz w:val="25"/>
    </w:rPr>
  </w:style>
  <w:style w:type="character" w:styleId="WW8Num837z0">
    <w:name w:val="WW8Num837z0"/>
    <w:qFormat/>
    <w:rPr>
      <w:rFonts w:ascii="Symbol" w:hAnsi="Symbol" w:cs="Symbol"/>
      <w:color w:val="auto"/>
    </w:rPr>
  </w:style>
  <w:style w:type="character" w:styleId="WW8Num838z0">
    <w:name w:val="WW8Num838z0"/>
    <w:qFormat/>
    <w:rPr/>
  </w:style>
  <w:style w:type="character" w:styleId="WW8Num839z0">
    <w:name w:val="WW8Num839z0"/>
    <w:qFormat/>
    <w:rPr>
      <w:rFonts w:ascii="Symbol" w:hAnsi="Symbol" w:cs="Symbol"/>
      <w:color w:val="auto"/>
    </w:rPr>
  </w:style>
  <w:style w:type="character" w:styleId="WW8Num840z0">
    <w:name w:val="WW8Num840z0"/>
    <w:qFormat/>
    <w:rPr>
      <w:rFonts w:ascii="Symbol" w:hAnsi="Symbol" w:cs="Symbol"/>
    </w:rPr>
  </w:style>
  <w:style w:type="character" w:styleId="WW8Num842z0">
    <w:name w:val="WW8Num842z0"/>
    <w:qFormat/>
    <w:rPr>
      <w:rFonts w:ascii="Symbol" w:hAnsi="Symbol" w:cs="Symbol"/>
    </w:rPr>
  </w:style>
  <w:style w:type="character" w:styleId="WW8Num843z0">
    <w:name w:val="WW8Num843z0"/>
    <w:qFormat/>
    <w:rPr>
      <w:rFonts w:ascii="Symbol" w:hAnsi="Symbol" w:cs="Symbol"/>
    </w:rPr>
  </w:style>
  <w:style w:type="character" w:styleId="WW8Num844z0">
    <w:name w:val="WW8Num844z0"/>
    <w:qFormat/>
    <w:rPr/>
  </w:style>
  <w:style w:type="character" w:styleId="WW8Num848z0">
    <w:name w:val="WW8Num848z0"/>
    <w:qFormat/>
    <w:rPr>
      <w:rFonts w:ascii="Symbol" w:hAnsi="Symbol" w:cs="Symbol"/>
    </w:rPr>
  </w:style>
  <w:style w:type="character" w:styleId="WW8Num851z0">
    <w:name w:val="WW8Num851z0"/>
    <w:qFormat/>
    <w:rPr>
      <w:rFonts w:ascii="Symbol" w:hAnsi="Symbol" w:cs="Symbol"/>
      <w:color w:val="000000"/>
      <w:sz w:val="18"/>
      <w:szCs w:val="18"/>
    </w:rPr>
  </w:style>
  <w:style w:type="character" w:styleId="WW8Num852z0">
    <w:name w:val="WW8Num852z0"/>
    <w:qFormat/>
    <w:rPr/>
  </w:style>
  <w:style w:type="character" w:styleId="WW8Num853z0">
    <w:name w:val="WW8Num853z0"/>
    <w:qFormat/>
    <w:rPr/>
  </w:style>
  <w:style w:type="character" w:styleId="WW8Num856z0">
    <w:name w:val="WW8Num856z0"/>
    <w:qFormat/>
    <w:rPr/>
  </w:style>
  <w:style w:type="character" w:styleId="WW8Num857z0">
    <w:name w:val="WW8Num857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858z0">
    <w:name w:val="WW8Num858z0"/>
    <w:qFormat/>
    <w:rPr/>
  </w:style>
  <w:style w:type="character" w:styleId="WW8Num860z0">
    <w:name w:val="WW8Num860z0"/>
    <w:qFormat/>
    <w:rPr/>
  </w:style>
  <w:style w:type="character" w:styleId="WW8Num861z0">
    <w:name w:val="WW8Num861z0"/>
    <w:qFormat/>
    <w:rPr/>
  </w:style>
  <w:style w:type="character" w:styleId="WW8Num863z0">
    <w:name w:val="WW8Num863z0"/>
    <w:qFormat/>
    <w:rPr>
      <w:rFonts w:ascii="Symbol" w:hAnsi="Symbol" w:cs="Symbol"/>
    </w:rPr>
  </w:style>
  <w:style w:type="character" w:styleId="WW8Num865z0">
    <w:name w:val="WW8Num865z0"/>
    <w:qFormat/>
    <w:rPr>
      <w:rFonts w:ascii="Symbol" w:hAnsi="Symbol" w:cs="Symbol"/>
      <w:color w:val="000000"/>
      <w:sz w:val="18"/>
      <w:szCs w:val="18"/>
    </w:rPr>
  </w:style>
  <w:style w:type="character" w:styleId="WW8Num866z0">
    <w:name w:val="WW8Num866z0"/>
    <w:qFormat/>
    <w:rPr>
      <w:rFonts w:ascii="Symbol" w:hAnsi="Symbol" w:cs="Symbol"/>
    </w:rPr>
  </w:style>
  <w:style w:type="character" w:styleId="WW8Num867z0">
    <w:name w:val="WW8Num867z0"/>
    <w:qFormat/>
    <w:rPr>
      <w:rFonts w:ascii="Symbol" w:hAnsi="Symbol" w:cs="Symbol"/>
    </w:rPr>
  </w:style>
  <w:style w:type="character" w:styleId="WW8Num868z0">
    <w:name w:val="WW8Num868z0"/>
    <w:qFormat/>
    <w:rPr>
      <w:rFonts w:ascii="Times New Roman" w:hAnsi="Times New Roman" w:cs="Times New Roman"/>
      <w:b/>
      <w:i w:val="false"/>
      <w:sz w:val="24"/>
      <w:szCs w:val="24"/>
    </w:rPr>
  </w:style>
  <w:style w:type="character" w:styleId="WW8Num868z2">
    <w:name w:val="WW8Num868z2"/>
    <w:qFormat/>
    <w:rPr>
      <w:rFonts w:ascii="Times New Roman" w:hAnsi="Times New Roman" w:cs="Times New Roman"/>
      <w:b w:val="false"/>
      <w:i w:val="false"/>
      <w:sz w:val="24"/>
      <w:szCs w:val="24"/>
    </w:rPr>
  </w:style>
  <w:style w:type="character" w:styleId="WW8Num869z0">
    <w:name w:val="WW8Num869z0"/>
    <w:qFormat/>
    <w:rPr>
      <w:rFonts w:ascii="Symbol" w:hAnsi="Symbol" w:cs="Symbol"/>
    </w:rPr>
  </w:style>
  <w:style w:type="character" w:styleId="WW8Num870z0">
    <w:name w:val="WW8Num870z0"/>
    <w:qFormat/>
    <w:rPr/>
  </w:style>
  <w:style w:type="character" w:styleId="WW8Num871z0">
    <w:name w:val="WW8Num871z0"/>
    <w:qFormat/>
    <w:rPr>
      <w:rFonts w:ascii="Century Schoolbook" w:hAnsi="Century Schoolbook" w:cs="Century Schoolbook"/>
      <w:b w:val="false"/>
      <w:i w:val="false"/>
      <w:sz w:val="22"/>
    </w:rPr>
  </w:style>
  <w:style w:type="character" w:styleId="WW8Num872z0">
    <w:name w:val="WW8Num872z0"/>
    <w:qFormat/>
    <w:rPr>
      <w:rFonts w:ascii="Times New Roman" w:hAnsi="Times New Roman" w:cs="Times New Roman"/>
      <w:b/>
      <w:i w:val="false"/>
      <w:sz w:val="24"/>
    </w:rPr>
  </w:style>
  <w:style w:type="character" w:styleId="WW8Num872z3">
    <w:name w:val="WW8Num872z3"/>
    <w:qFormat/>
    <w:rPr>
      <w:rFonts w:ascii="Times New Roman" w:hAnsi="Times New Roman" w:cs="Times New Roman"/>
      <w:b w:val="false"/>
      <w:i w:val="false"/>
      <w:sz w:val="24"/>
    </w:rPr>
  </w:style>
  <w:style w:type="character" w:styleId="WW8Num873z0">
    <w:name w:val="WW8Num873z0"/>
    <w:qFormat/>
    <w:rPr>
      <w:rFonts w:ascii="Arial" w:hAnsi="Arial" w:cs="Arial"/>
      <w:b/>
      <w:i w:val="false"/>
      <w:sz w:val="24"/>
    </w:rPr>
  </w:style>
  <w:style w:type="character" w:styleId="WW8Num873z1">
    <w:name w:val="WW8Num873z1"/>
    <w:qFormat/>
    <w:rPr>
      <w:rFonts w:ascii="Times New Roman" w:hAnsi="Times New Roman" w:cs="Times New Roman"/>
      <w:b/>
      <w:i w:val="false"/>
      <w:sz w:val="22"/>
    </w:rPr>
  </w:style>
  <w:style w:type="character" w:styleId="WW8Num873z2">
    <w:name w:val="WW8Num873z2"/>
    <w:qFormat/>
    <w:rPr>
      <w:rFonts w:ascii="Times New Roman" w:hAnsi="Times New Roman" w:cs="Times New Roman"/>
      <w:b/>
      <w:i w:val="false"/>
      <w:sz w:val="20"/>
    </w:rPr>
  </w:style>
  <w:style w:type="character" w:styleId="WW8Num873z4">
    <w:name w:val="WW8Num873z4"/>
    <w:qFormat/>
    <w:rPr>
      <w:b/>
      <w:i w:val="false"/>
    </w:rPr>
  </w:style>
  <w:style w:type="character" w:styleId="WW8Num873z5">
    <w:name w:val="WW8Num873z5"/>
    <w:qFormat/>
    <w:rPr/>
  </w:style>
  <w:style w:type="character" w:styleId="WW8Num879z0">
    <w:name w:val="WW8Num879z0"/>
    <w:qFormat/>
    <w:rPr>
      <w:rFonts w:ascii="Symbol" w:hAnsi="Symbol" w:cs="Symbol"/>
      <w:color w:val="000000"/>
      <w:sz w:val="18"/>
      <w:szCs w:val="18"/>
    </w:rPr>
  </w:style>
  <w:style w:type="character" w:styleId="WW8Num880z0">
    <w:name w:val="WW8Num880z0"/>
    <w:qFormat/>
    <w:rPr>
      <w:rFonts w:ascii="Symbol" w:hAnsi="Symbol" w:cs="Symbol"/>
    </w:rPr>
  </w:style>
  <w:style w:type="character" w:styleId="WW8Num882z0">
    <w:name w:val="WW8Num882z0"/>
    <w:qFormat/>
    <w:rPr/>
  </w:style>
  <w:style w:type="character" w:styleId="WW8Num883z0">
    <w:name w:val="WW8Num883z0"/>
    <w:qFormat/>
    <w:rPr>
      <w:rFonts w:ascii="Symbol" w:hAnsi="Symbol" w:cs="Symbol"/>
      <w:color w:val="auto"/>
    </w:rPr>
  </w:style>
  <w:style w:type="character" w:styleId="WW8Num884z0">
    <w:name w:val="WW8Num884z0"/>
    <w:qFormat/>
    <w:rPr>
      <w:rFonts w:ascii="Symbol" w:hAnsi="Symbol" w:cs="Symbol"/>
    </w:rPr>
  </w:style>
  <w:style w:type="character" w:styleId="WW8Num885z0">
    <w:name w:val="WW8Num885z0"/>
    <w:qFormat/>
    <w:rPr>
      <w:rFonts w:ascii="Symbol" w:hAnsi="Symbol" w:cs="Symbol"/>
    </w:rPr>
  </w:style>
  <w:style w:type="character" w:styleId="WW8Num887z0">
    <w:name w:val="WW8Num887z0"/>
    <w:qFormat/>
    <w:rPr>
      <w:rFonts w:ascii="Symbol" w:hAnsi="Symbol" w:cs="Symbol"/>
    </w:rPr>
  </w:style>
  <w:style w:type="character" w:styleId="WW8Num888z0">
    <w:name w:val="WW8Num888z0"/>
    <w:qFormat/>
    <w:rPr/>
  </w:style>
  <w:style w:type="character" w:styleId="WW8Num889z0">
    <w:name w:val="WW8Num889z0"/>
    <w:qFormat/>
    <w:rPr/>
  </w:style>
  <w:style w:type="character" w:styleId="WW8Num890z0">
    <w:name w:val="WW8Num890z0"/>
    <w:qFormat/>
    <w:rPr>
      <w:rFonts w:ascii="Symbol" w:hAnsi="Symbol" w:cs="Symbol"/>
    </w:rPr>
  </w:style>
  <w:style w:type="character" w:styleId="WW8Num891z0">
    <w:name w:val="WW8Num891z0"/>
    <w:qFormat/>
    <w:rPr/>
  </w:style>
  <w:style w:type="character" w:styleId="WW8Num892z0">
    <w:name w:val="WW8Num892z0"/>
    <w:qFormat/>
    <w:rPr>
      <w:rFonts w:ascii="Marlett" w:hAnsi="Marlett" w:cs="Marlett"/>
    </w:rPr>
  </w:style>
  <w:style w:type="character" w:styleId="WW8Num893z0">
    <w:name w:val="WW8Num893z0"/>
    <w:qFormat/>
    <w:rPr/>
  </w:style>
  <w:style w:type="character" w:styleId="WW8Num895z0">
    <w:name w:val="WW8Num895z0"/>
    <w:qFormat/>
    <w:rPr/>
  </w:style>
  <w:style w:type="character" w:styleId="WW8Num896z0">
    <w:name w:val="WW8Num896z0"/>
    <w:qFormat/>
    <w:rPr/>
  </w:style>
  <w:style w:type="character" w:styleId="WW8Num899z0">
    <w:name w:val="WW8Num899z0"/>
    <w:qFormat/>
    <w:rPr>
      <w:rFonts w:ascii="Symbol" w:hAnsi="Symbol" w:cs="Symbol"/>
    </w:rPr>
  </w:style>
  <w:style w:type="character" w:styleId="WW8Num899z1">
    <w:name w:val="WW8Num899z1"/>
    <w:qFormat/>
    <w:rPr>
      <w:rFonts w:ascii="Courier New" w:hAnsi="Courier New" w:cs="Courier New"/>
    </w:rPr>
  </w:style>
  <w:style w:type="character" w:styleId="WW8Num899z2">
    <w:name w:val="WW8Num899z2"/>
    <w:qFormat/>
    <w:rPr>
      <w:rFonts w:ascii="Wingdings" w:hAnsi="Wingdings" w:cs="Wingdings"/>
    </w:rPr>
  </w:style>
  <w:style w:type="character" w:styleId="WW8Num900z0">
    <w:name w:val="WW8Num900z0"/>
    <w:qFormat/>
    <w:rPr>
      <w:rFonts w:ascii="Symbol" w:hAnsi="Symbol" w:cs="Symbol"/>
      <w:color w:val="auto"/>
      <w:sz w:val="22"/>
    </w:rPr>
  </w:style>
  <w:style w:type="character" w:styleId="WW8Num902z0">
    <w:name w:val="WW8Num902z0"/>
    <w:qFormat/>
    <w:rPr>
      <w:rFonts w:ascii="Symbol" w:hAnsi="Symbol" w:cs="Symbol"/>
    </w:rPr>
  </w:style>
  <w:style w:type="character" w:styleId="WW8Num903z0">
    <w:name w:val="WW8Num903z0"/>
    <w:qFormat/>
    <w:rPr>
      <w:b w:val="false"/>
    </w:rPr>
  </w:style>
  <w:style w:type="character" w:styleId="WW8Num904z0">
    <w:name w:val="WW8Num904z0"/>
    <w:qFormat/>
    <w:rPr>
      <w:rFonts w:ascii="Symbol" w:hAnsi="Symbol" w:cs="Symbol"/>
    </w:rPr>
  </w:style>
  <w:style w:type="character" w:styleId="WW8Num906z0">
    <w:name w:val="WW8Num906z0"/>
    <w:qFormat/>
    <w:rPr>
      <w:rFonts w:ascii="Times New Roman" w:hAnsi="Times New Roman" w:cs="Times New Roman"/>
      <w:b/>
      <w:i w:val="false"/>
      <w:sz w:val="22"/>
    </w:rPr>
  </w:style>
  <w:style w:type="character" w:styleId="WW8Num907z0">
    <w:name w:val="WW8Num907z0"/>
    <w:qFormat/>
    <w:rPr/>
  </w:style>
  <w:style w:type="character" w:styleId="WW8Num908z0">
    <w:name w:val="WW8Num908z0"/>
    <w:qFormat/>
    <w:rPr/>
  </w:style>
  <w:style w:type="character" w:styleId="WW8Num909z0">
    <w:name w:val="WW8Num909z0"/>
    <w:qFormat/>
    <w:rPr>
      <w:rFonts w:ascii="Symbol" w:hAnsi="Symbol" w:cs="Symbol"/>
    </w:rPr>
  </w:style>
  <w:style w:type="character" w:styleId="WW8Num909z1">
    <w:name w:val="WW8Num909z1"/>
    <w:qFormat/>
    <w:rPr>
      <w:rFonts w:ascii="Courier New" w:hAnsi="Courier New" w:cs="Courier New"/>
    </w:rPr>
  </w:style>
  <w:style w:type="character" w:styleId="WW8Num909z2">
    <w:name w:val="WW8Num909z2"/>
    <w:qFormat/>
    <w:rPr>
      <w:rFonts w:ascii="Wingdings" w:hAnsi="Wingdings" w:cs="Wingdings"/>
    </w:rPr>
  </w:style>
  <w:style w:type="character" w:styleId="WW8Num910z0">
    <w:name w:val="WW8Num910z0"/>
    <w:qFormat/>
    <w:rPr>
      <w:rFonts w:ascii="Symbol" w:hAnsi="Symbol" w:cs="Symbol"/>
    </w:rPr>
  </w:style>
  <w:style w:type="character" w:styleId="WW8Num911z0">
    <w:name w:val="WW8Num911z0"/>
    <w:qFormat/>
    <w:rPr>
      <w:rFonts w:ascii="Symbol" w:hAnsi="Symbol" w:cs="Symbol"/>
    </w:rPr>
  </w:style>
  <w:style w:type="character" w:styleId="WW8Num912z0">
    <w:name w:val="WW8Num912z0"/>
    <w:qFormat/>
    <w:rPr>
      <w:rFonts w:ascii="Symbol" w:hAnsi="Symbol" w:cs="Symbol"/>
    </w:rPr>
  </w:style>
  <w:style w:type="character" w:styleId="WW8Num914z0">
    <w:name w:val="WW8Num914z0"/>
    <w:qFormat/>
    <w:rPr>
      <w:rFonts w:ascii="Marlett" w:hAnsi="Marlett" w:cs="Marlett"/>
    </w:rPr>
  </w:style>
  <w:style w:type="character" w:styleId="WW8Num916z0">
    <w:name w:val="WW8Num916z0"/>
    <w:qFormat/>
    <w:rPr>
      <w:rFonts w:ascii="Symbol" w:hAnsi="Symbol" w:cs="Symbol"/>
    </w:rPr>
  </w:style>
  <w:style w:type="character" w:styleId="WW8Num917z0">
    <w:name w:val="WW8Num917z0"/>
    <w:qFormat/>
    <w:rPr/>
  </w:style>
  <w:style w:type="character" w:styleId="WW8Num918z0">
    <w:name w:val="WW8Num918z0"/>
    <w:qFormat/>
    <w:rPr>
      <w:rFonts w:ascii="Symbol" w:hAnsi="Symbol" w:cs="Symbol"/>
    </w:rPr>
  </w:style>
  <w:style w:type="character" w:styleId="WW8Num919z0">
    <w:name w:val="WW8Num919z0"/>
    <w:qFormat/>
    <w:rPr/>
  </w:style>
  <w:style w:type="character" w:styleId="WW8Num920z0">
    <w:name w:val="WW8Num920z0"/>
    <w:qFormat/>
    <w:rPr>
      <w:rFonts w:ascii="Symbol" w:hAnsi="Symbol" w:cs="Symbol"/>
    </w:rPr>
  </w:style>
  <w:style w:type="character" w:styleId="WW8Num921z0">
    <w:name w:val="WW8Num921z0"/>
    <w:qFormat/>
    <w:rPr>
      <w:rFonts w:ascii="Symbol" w:hAnsi="Symbol" w:cs="Symbol"/>
      <w:color w:val="auto"/>
    </w:rPr>
  </w:style>
  <w:style w:type="character" w:styleId="WW8Num923z0">
    <w:name w:val="WW8Num923z0"/>
    <w:qFormat/>
    <w:rPr>
      <w:rFonts w:ascii="Symbol" w:hAnsi="Symbol" w:cs="Symbol"/>
      <w:color w:val="000000"/>
      <w:sz w:val="18"/>
      <w:szCs w:val="18"/>
    </w:rPr>
  </w:style>
  <w:style w:type="character" w:styleId="WW8Num924z0">
    <w:name w:val="WW8Num924z0"/>
    <w:qFormat/>
    <w:rPr>
      <w:rFonts w:ascii="Symbol" w:hAnsi="Symbol" w:cs="Symbol"/>
    </w:rPr>
  </w:style>
  <w:style w:type="character" w:styleId="WW8Num924z1">
    <w:name w:val="WW8Num924z1"/>
    <w:qFormat/>
    <w:rPr>
      <w:rFonts w:ascii="Courier New" w:hAnsi="Courier New" w:cs="Courier New"/>
    </w:rPr>
  </w:style>
  <w:style w:type="character" w:styleId="WW8Num924z2">
    <w:name w:val="WW8Num924z2"/>
    <w:qFormat/>
    <w:rPr>
      <w:rFonts w:ascii="Wingdings" w:hAnsi="Wingdings" w:cs="Wingdings"/>
    </w:rPr>
  </w:style>
  <w:style w:type="character" w:styleId="WW8Num925z0">
    <w:name w:val="WW8Num925z0"/>
    <w:qFormat/>
    <w:rPr>
      <w:rFonts w:ascii="Symbol" w:hAnsi="Symbol" w:cs="Symbol"/>
    </w:rPr>
  </w:style>
  <w:style w:type="character" w:styleId="WW8Num926z0">
    <w:name w:val="WW8Num926z0"/>
    <w:qFormat/>
    <w:rPr/>
  </w:style>
  <w:style w:type="character" w:styleId="WW8Num928z0">
    <w:name w:val="WW8Num928z0"/>
    <w:qFormat/>
    <w:rPr/>
  </w:style>
  <w:style w:type="character" w:styleId="WW8Num929z0">
    <w:name w:val="WW8Num929z0"/>
    <w:qFormat/>
    <w:rPr>
      <w:rFonts w:ascii="Symbol" w:hAnsi="Symbol" w:cs="Symbol"/>
    </w:rPr>
  </w:style>
  <w:style w:type="character" w:styleId="WW8Num930z0">
    <w:name w:val="WW8Num930z0"/>
    <w:qFormat/>
    <w:rPr/>
  </w:style>
  <w:style w:type="character" w:styleId="WW8Num931z0">
    <w:name w:val="WW8Num931z0"/>
    <w:qFormat/>
    <w:rPr/>
  </w:style>
  <w:style w:type="character" w:styleId="WW8Num933z0">
    <w:name w:val="WW8Num933z0"/>
    <w:qFormat/>
    <w:rPr/>
  </w:style>
  <w:style w:type="character" w:styleId="WW8Num935z0">
    <w:name w:val="WW8Num935z0"/>
    <w:qFormat/>
    <w:rPr>
      <w:rFonts w:ascii="Symbol" w:hAnsi="Symbol" w:cs="Symbol"/>
      <w:color w:val="auto"/>
      <w:sz w:val="20"/>
    </w:rPr>
  </w:style>
  <w:style w:type="character" w:styleId="WW8Num938z0">
    <w:name w:val="WW8Num938z0"/>
    <w:qFormat/>
    <w:rPr>
      <w:rFonts w:ascii="Symbol" w:hAnsi="Symbol" w:cs="Symbol"/>
    </w:rPr>
  </w:style>
  <w:style w:type="character" w:styleId="WW8Num939z0">
    <w:name w:val="WW8Num939z0"/>
    <w:qFormat/>
    <w:rPr>
      <w:rFonts w:ascii="Symbol" w:hAnsi="Symbol" w:cs="Symbol"/>
    </w:rPr>
  </w:style>
  <w:style w:type="character" w:styleId="WW8Num940z0">
    <w:name w:val="WW8Num940z0"/>
    <w:qFormat/>
    <w:rPr/>
  </w:style>
  <w:style w:type="character" w:styleId="WW8Num941z0">
    <w:name w:val="WW8Num941z0"/>
    <w:qFormat/>
    <w:rPr/>
  </w:style>
  <w:style w:type="character" w:styleId="WW8Num942z0">
    <w:name w:val="WW8Num942z0"/>
    <w:qFormat/>
    <w:rPr>
      <w:b w:val="false"/>
      <w:i w:val="false"/>
    </w:rPr>
  </w:style>
  <w:style w:type="character" w:styleId="WW8Num943z0">
    <w:name w:val="WW8Num943z0"/>
    <w:qFormat/>
    <w:rPr>
      <w:rFonts w:ascii="Symbol" w:hAnsi="Symbol" w:cs="Symbol"/>
    </w:rPr>
  </w:style>
  <w:style w:type="character" w:styleId="WW8Num944z0">
    <w:name w:val="WW8Num944z0"/>
    <w:qFormat/>
    <w:rPr>
      <w:rFonts w:ascii="Symbol" w:hAnsi="Symbol" w:cs="Symbol"/>
    </w:rPr>
  </w:style>
  <w:style w:type="character" w:styleId="WW8Num945z0">
    <w:name w:val="WW8Num945z0"/>
    <w:qFormat/>
    <w:rPr>
      <w:rFonts w:ascii="Wingdings" w:hAnsi="Wingdings" w:cs="Wingdings"/>
    </w:rPr>
  </w:style>
  <w:style w:type="character" w:styleId="WW8Num946z0">
    <w:name w:val="WW8Num946z0"/>
    <w:qFormat/>
    <w:rPr>
      <w:rFonts w:ascii="Symbol" w:hAnsi="Symbol" w:cs="Symbol"/>
    </w:rPr>
  </w:style>
  <w:style w:type="character" w:styleId="WW8Num947z0">
    <w:name w:val="WW8Num947z0"/>
    <w:qFormat/>
    <w:rPr>
      <w:rFonts w:ascii="Symbol" w:hAnsi="Symbol" w:cs="Symbol"/>
    </w:rPr>
  </w:style>
  <w:style w:type="character" w:styleId="WW8Num949z0">
    <w:name w:val="WW8Num949z0"/>
    <w:qFormat/>
    <w:rPr>
      <w:rFonts w:ascii="Symbol" w:hAnsi="Symbol" w:cs="Symbol"/>
    </w:rPr>
  </w:style>
  <w:style w:type="character" w:styleId="WW8Num950z0">
    <w:name w:val="WW8Num950z0"/>
    <w:qFormat/>
    <w:rPr/>
  </w:style>
  <w:style w:type="character" w:styleId="WW8Num951z0">
    <w:name w:val="WW8Num951z0"/>
    <w:qFormat/>
    <w:rPr>
      <w:rFonts w:ascii="Wingdings" w:hAnsi="Wingdings" w:cs="Wingdings"/>
    </w:rPr>
  </w:style>
  <w:style w:type="character" w:styleId="WW8Num952z0">
    <w:name w:val="WW8Num952z0"/>
    <w:qFormat/>
    <w:rPr/>
  </w:style>
  <w:style w:type="character" w:styleId="WW8Num954z0">
    <w:name w:val="WW8Num954z0"/>
    <w:qFormat/>
    <w:rPr/>
  </w:style>
  <w:style w:type="character" w:styleId="WW8Num956z0">
    <w:name w:val="WW8Num956z0"/>
    <w:qFormat/>
    <w:rPr/>
  </w:style>
  <w:style w:type="character" w:styleId="WW8Num957z0">
    <w:name w:val="WW8Num957z0"/>
    <w:qFormat/>
    <w:rPr>
      <w:rFonts w:ascii="Symbol" w:hAnsi="Symbol" w:cs="Symbol"/>
      <w:color w:val="auto"/>
    </w:rPr>
  </w:style>
  <w:style w:type="character" w:styleId="WW8Num958z0">
    <w:name w:val="WW8Num958z0"/>
    <w:qFormat/>
    <w:rPr>
      <w:rFonts w:ascii="Symbol" w:hAnsi="Symbol" w:cs="Symbol"/>
    </w:rPr>
  </w:style>
  <w:style w:type="character" w:styleId="WW8Num958z1">
    <w:name w:val="WW8Num958z1"/>
    <w:qFormat/>
    <w:rPr>
      <w:rFonts w:ascii="Courier New" w:hAnsi="Courier New" w:cs="Courier New"/>
    </w:rPr>
  </w:style>
  <w:style w:type="character" w:styleId="WW8Num958z2">
    <w:name w:val="WW8Num958z2"/>
    <w:qFormat/>
    <w:rPr>
      <w:rFonts w:ascii="Wingdings" w:hAnsi="Wingdings" w:cs="Wingdings"/>
    </w:rPr>
  </w:style>
  <w:style w:type="character" w:styleId="WW8Num959z0">
    <w:name w:val="WW8Num959z0"/>
    <w:qFormat/>
    <w:rPr>
      <w:rFonts w:ascii="Symbol" w:hAnsi="Symbol" w:cs="Symbol"/>
    </w:rPr>
  </w:style>
  <w:style w:type="character" w:styleId="WW8Num960z0">
    <w:name w:val="WW8Num960z0"/>
    <w:qFormat/>
    <w:rPr/>
  </w:style>
  <w:style w:type="character" w:styleId="WW8Num961z0">
    <w:name w:val="WW8Num961z0"/>
    <w:qFormat/>
    <w:rPr/>
  </w:style>
  <w:style w:type="character" w:styleId="WW8Num962z0">
    <w:name w:val="WW8Num962z0"/>
    <w:qFormat/>
    <w:rPr/>
  </w:style>
  <w:style w:type="character" w:styleId="WW8Num963z0">
    <w:name w:val="WW8Num963z0"/>
    <w:qFormat/>
    <w:rPr/>
  </w:style>
  <w:style w:type="character" w:styleId="WW8Num964z0">
    <w:name w:val="WW8Num964z0"/>
    <w:qFormat/>
    <w:rPr>
      <w:rFonts w:ascii="Symbol" w:hAnsi="Symbol" w:cs="Symbol"/>
      <w:sz w:val="52"/>
    </w:rPr>
  </w:style>
  <w:style w:type="character" w:styleId="WW8Num965z0">
    <w:name w:val="WW8Num965z0"/>
    <w:qFormat/>
    <w:rPr>
      <w:rFonts w:ascii="Symbol" w:hAnsi="Symbol" w:cs="Symbol"/>
      <w:color w:val="auto"/>
    </w:rPr>
  </w:style>
  <w:style w:type="character" w:styleId="WW8Num966z0">
    <w:name w:val="WW8Num966z0"/>
    <w:qFormat/>
    <w:rPr>
      <w:rFonts w:ascii="Symbol" w:hAnsi="Symbol" w:cs="Symbol"/>
    </w:rPr>
  </w:style>
  <w:style w:type="character" w:styleId="WW8Num967z0">
    <w:name w:val="WW8Num967z0"/>
    <w:qFormat/>
    <w:rPr>
      <w:rFonts w:ascii="Symbol" w:hAnsi="Symbol" w:cs="Symbol"/>
    </w:rPr>
  </w:style>
  <w:style w:type="character" w:styleId="WW8Num969z0">
    <w:name w:val="WW8Num969z0"/>
    <w:qFormat/>
    <w:rPr>
      <w:rFonts w:ascii="Symbol" w:hAnsi="Symbol" w:cs="Symbol"/>
    </w:rPr>
  </w:style>
  <w:style w:type="character" w:styleId="WW8Num971z0">
    <w:name w:val="WW8Num971z0"/>
    <w:qFormat/>
    <w:rPr/>
  </w:style>
  <w:style w:type="character" w:styleId="WW8Num972z0">
    <w:name w:val="WW8Num972z0"/>
    <w:qFormat/>
    <w:rPr>
      <w:rFonts w:ascii="Symbol" w:hAnsi="Symbol" w:cs="Symbol"/>
    </w:rPr>
  </w:style>
  <w:style w:type="character" w:styleId="WW8Num973z0">
    <w:name w:val="WW8Num973z0"/>
    <w:qFormat/>
    <w:rPr/>
  </w:style>
  <w:style w:type="character" w:styleId="WW8Num974z0">
    <w:name w:val="WW8Num974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79z0">
    <w:name w:val="WW8Num979z0"/>
    <w:qFormat/>
    <w:rPr/>
  </w:style>
  <w:style w:type="character" w:styleId="WW8Num983z0">
    <w:name w:val="WW8Num983z0"/>
    <w:qFormat/>
    <w:rPr>
      <w:rFonts w:ascii="Times New Roman" w:hAnsi="Times New Roman" w:cs="Times New Roman"/>
      <w:b/>
      <w:i w:val="false"/>
      <w:sz w:val="24"/>
      <w:szCs w:val="24"/>
      <w:u w:val="none"/>
    </w:rPr>
  </w:style>
  <w:style w:type="character" w:styleId="WW8Num983z1">
    <w:name w:val="WW8Num983z1"/>
    <w:qFormat/>
    <w:rPr>
      <w:rFonts w:ascii="Times New Roman" w:hAnsi="Times New Roman" w:cs="Times New Roman"/>
      <w:b/>
      <w:i w:val="false"/>
      <w:sz w:val="24"/>
      <w:szCs w:val="24"/>
    </w:rPr>
  </w:style>
  <w:style w:type="character" w:styleId="WW8Num983z4">
    <w:name w:val="WW8Num983z4"/>
    <w:qFormat/>
    <w:rPr>
      <w:rFonts w:ascii="Times New Roman" w:hAnsi="Times New Roman" w:cs="Times New Roman"/>
      <w:b w:val="false"/>
      <w:i w:val="false"/>
      <w:sz w:val="24"/>
      <w:szCs w:val="24"/>
    </w:rPr>
  </w:style>
  <w:style w:type="character" w:styleId="WW8Num984z0">
    <w:name w:val="WW8Num984z0"/>
    <w:qFormat/>
    <w:rPr>
      <w:rFonts w:ascii="Symbol" w:hAnsi="Symbol" w:cs="Symbol"/>
    </w:rPr>
  </w:style>
  <w:style w:type="character" w:styleId="WW8Num985z0">
    <w:name w:val="WW8Num985z0"/>
    <w:qFormat/>
    <w:rPr>
      <w:rFonts w:ascii="Symbol" w:hAnsi="Symbol" w:cs="Symbol"/>
      <w:color w:val="auto"/>
    </w:rPr>
  </w:style>
  <w:style w:type="character" w:styleId="WW8Num986z0">
    <w:name w:val="WW8Num986z0"/>
    <w:qFormat/>
    <w:rPr>
      <w:rFonts w:ascii="Symbol" w:hAnsi="Symbol" w:cs="Symbol"/>
    </w:rPr>
  </w:style>
  <w:style w:type="character" w:styleId="WW8Num987z0">
    <w:name w:val="WW8Num987z0"/>
    <w:qFormat/>
    <w:rPr>
      <w:rFonts w:ascii="Symbol" w:hAnsi="Symbol" w:cs="Symbol"/>
    </w:rPr>
  </w:style>
  <w:style w:type="character" w:styleId="WW8Num988z0">
    <w:name w:val="WW8Num988z0"/>
    <w:qFormat/>
    <w:rPr>
      <w:rFonts w:ascii="Wingdings" w:hAnsi="Wingdings" w:cs="Wingdings"/>
    </w:rPr>
  </w:style>
  <w:style w:type="character" w:styleId="WW8Num991z0">
    <w:name w:val="WW8Num991z0"/>
    <w:qFormat/>
    <w:rPr>
      <w:b/>
    </w:rPr>
  </w:style>
  <w:style w:type="character" w:styleId="WW8Num993z0">
    <w:name w:val="WW8Num993z0"/>
    <w:qFormat/>
    <w:rPr>
      <w:rFonts w:ascii="Symbol" w:hAnsi="Symbol" w:cs="Symbol"/>
    </w:rPr>
  </w:style>
  <w:style w:type="character" w:styleId="WW8Num994z0">
    <w:name w:val="WW8Num994z0"/>
    <w:qFormat/>
    <w:rPr>
      <w:rFonts w:ascii="Symbol" w:hAnsi="Symbol" w:cs="Symbol"/>
    </w:rPr>
  </w:style>
  <w:style w:type="character" w:styleId="WW8Num995z0">
    <w:name w:val="WW8Num995z0"/>
    <w:qFormat/>
    <w:rPr/>
  </w:style>
  <w:style w:type="character" w:styleId="WW8Num997z0">
    <w:name w:val="WW8Num997z0"/>
    <w:qFormat/>
    <w:rPr/>
  </w:style>
  <w:style w:type="character" w:styleId="WW8Num998z0">
    <w:name w:val="WW8Num998z0"/>
    <w:qFormat/>
    <w:rPr>
      <w:rFonts w:ascii="Symbol" w:hAnsi="Symbol" w:cs="Symbol"/>
      <w:color w:val="000000"/>
      <w:sz w:val="18"/>
      <w:szCs w:val="18"/>
    </w:rPr>
  </w:style>
  <w:style w:type="character" w:styleId="WW8Num999z0">
    <w:name w:val="WW8Num999z0"/>
    <w:qFormat/>
    <w:rPr>
      <w:rFonts w:ascii="Symbol" w:hAnsi="Symbol" w:cs="Symbol"/>
    </w:rPr>
  </w:style>
  <w:style w:type="character" w:styleId="WW8Num1000z0">
    <w:name w:val="WW8Num1000z0"/>
    <w:qFormat/>
    <w:rPr/>
  </w:style>
  <w:style w:type="character" w:styleId="WW8Num1001z0">
    <w:name w:val="WW8Num1001z0"/>
    <w:qFormat/>
    <w:rPr>
      <w:rFonts w:ascii="Symbol" w:hAnsi="Symbol" w:cs="Symbol"/>
    </w:rPr>
  </w:style>
  <w:style w:type="character" w:styleId="WW8Num1002z0">
    <w:name w:val="WW8Num1002z0"/>
    <w:qFormat/>
    <w:rPr>
      <w:rFonts w:ascii="Times New Roman" w:hAnsi="Times New Roman" w:cs="Times New Roman"/>
      <w:b/>
      <w:i w:val="false"/>
      <w:sz w:val="24"/>
      <w:szCs w:val="24"/>
    </w:rPr>
  </w:style>
  <w:style w:type="character" w:styleId="WW8Num1002z1">
    <w:name w:val="WW8Num1002z1"/>
    <w:qFormat/>
    <w:rPr>
      <w:b/>
      <w:i w:val="false"/>
    </w:rPr>
  </w:style>
  <w:style w:type="character" w:styleId="WW8Num1003z0">
    <w:name w:val="WW8Num1003z0"/>
    <w:qFormat/>
    <w:rPr/>
  </w:style>
  <w:style w:type="character" w:styleId="WW8Num1004z0">
    <w:name w:val="WW8Num1004z0"/>
    <w:qFormat/>
    <w:rPr>
      <w:rFonts w:ascii="Symbol" w:hAnsi="Symbol" w:cs="Symbol"/>
    </w:rPr>
  </w:style>
  <w:style w:type="character" w:styleId="WW8Num1005z0">
    <w:name w:val="WW8Num1005z0"/>
    <w:qFormat/>
    <w:rPr>
      <w:rFonts w:ascii="Symbol" w:hAnsi="Symbol" w:cs="Symbol"/>
      <w:color w:val="000000"/>
      <w:sz w:val="18"/>
      <w:szCs w:val="18"/>
    </w:rPr>
  </w:style>
  <w:style w:type="character" w:styleId="WW8Num1006z0">
    <w:name w:val="WW8Num1006z0"/>
    <w:qFormat/>
    <w:rPr>
      <w:rFonts w:ascii="Times New Roman" w:hAnsi="Times New Roman" w:cs="Times New Roman"/>
      <w:b w:val="false"/>
      <w:i w:val="false"/>
      <w:sz w:val="24"/>
      <w:szCs w:val="24"/>
      <w:u w:val="none"/>
    </w:rPr>
  </w:style>
  <w:style w:type="character" w:styleId="WW8Num1007z0">
    <w:name w:val="WW8Num1007z0"/>
    <w:qFormat/>
    <w:rPr/>
  </w:style>
  <w:style w:type="character" w:styleId="WW8Num1008z0">
    <w:name w:val="WW8Num1008z0"/>
    <w:qFormat/>
    <w:rPr/>
  </w:style>
  <w:style w:type="character" w:styleId="WW8Num1009z0">
    <w:name w:val="WW8Num1009z0"/>
    <w:qFormat/>
    <w:rPr>
      <w:rFonts w:ascii="Symbol" w:hAnsi="Symbol" w:cs="Symbol"/>
    </w:rPr>
  </w:style>
  <w:style w:type="character" w:styleId="WW8Num1010z0">
    <w:name w:val="WW8Num1010z0"/>
    <w:qFormat/>
    <w:rPr/>
  </w:style>
  <w:style w:type="character" w:styleId="WW8Num1011z0">
    <w:name w:val="WW8Num1011z0"/>
    <w:qFormat/>
    <w:rPr/>
  </w:style>
  <w:style w:type="character" w:styleId="WW8Num1012z0">
    <w:name w:val="WW8Num1012z0"/>
    <w:qFormat/>
    <w:rPr>
      <w:rFonts w:ascii="Symbol" w:hAnsi="Symbol" w:cs="Symbol"/>
      <w:color w:val="auto"/>
    </w:rPr>
  </w:style>
  <w:style w:type="character" w:styleId="WW8Num1013z0">
    <w:name w:val="WW8Num1013z0"/>
    <w:qFormat/>
    <w:rPr/>
  </w:style>
  <w:style w:type="character" w:styleId="WW8Num1014z0">
    <w:name w:val="WW8Num1014z0"/>
    <w:qFormat/>
    <w:rPr/>
  </w:style>
  <w:style w:type="character" w:styleId="WW8Num1015z0">
    <w:name w:val="WW8Num1015z0"/>
    <w:qFormat/>
    <w:rPr>
      <w:rFonts w:ascii="Symbol" w:hAnsi="Symbol" w:cs="Symbol"/>
    </w:rPr>
  </w:style>
  <w:style w:type="character" w:styleId="WW8Num1015z1">
    <w:name w:val="WW8Num1015z1"/>
    <w:qFormat/>
    <w:rPr/>
  </w:style>
  <w:style w:type="character" w:styleId="WW8Num1018z0">
    <w:name w:val="WW8Num1018z0"/>
    <w:qFormat/>
    <w:rPr>
      <w:rFonts w:ascii="Symbol" w:hAnsi="Symbol" w:cs="Symbol"/>
    </w:rPr>
  </w:style>
  <w:style w:type="character" w:styleId="WW8Num1019z0">
    <w:name w:val="WW8Num1019z0"/>
    <w:qFormat/>
    <w:rPr/>
  </w:style>
  <w:style w:type="character" w:styleId="WW8Num1020z0">
    <w:name w:val="WW8Num1020z0"/>
    <w:qFormat/>
    <w:rPr>
      <w:rFonts w:ascii="Symbol" w:hAnsi="Symbol" w:cs="Symbol"/>
    </w:rPr>
  </w:style>
  <w:style w:type="character" w:styleId="WW8Num1021z0">
    <w:name w:val="WW8Num1021z0"/>
    <w:qFormat/>
    <w:rPr>
      <w:rFonts w:ascii="Symbol" w:hAnsi="Symbol" w:cs="Symbol"/>
    </w:rPr>
  </w:style>
  <w:style w:type="character" w:styleId="WW8Num1022z0">
    <w:name w:val="WW8Num1022z0"/>
    <w:qFormat/>
    <w:rPr>
      <w:rFonts w:ascii="Symbol" w:hAnsi="Symbol" w:cs="Symbol"/>
    </w:rPr>
  </w:style>
  <w:style w:type="character" w:styleId="WW8Num1023z0">
    <w:name w:val="WW8Num1023z0"/>
    <w:qFormat/>
    <w:rPr>
      <w:rFonts w:ascii="Symbol" w:hAnsi="Symbol" w:cs="Symbol"/>
    </w:rPr>
  </w:style>
  <w:style w:type="character" w:styleId="WW8Num1024z0">
    <w:name w:val="WW8Num1024z0"/>
    <w:qFormat/>
    <w:rPr>
      <w:b w:val="false"/>
      <w:i w:val="false"/>
      <w:u w:val="none"/>
    </w:rPr>
  </w:style>
  <w:style w:type="character" w:styleId="WW8Num1025z0">
    <w:name w:val="WW8Num1025z0"/>
    <w:qFormat/>
    <w:rPr>
      <w:rFonts w:ascii="Symbol" w:hAnsi="Symbol" w:cs="Symbol"/>
    </w:rPr>
  </w:style>
  <w:style w:type="character" w:styleId="WW8Num1026z0">
    <w:name w:val="WW8Num1026z0"/>
    <w:qFormat/>
    <w:rPr/>
  </w:style>
  <w:style w:type="character" w:styleId="WW8Num1027z0">
    <w:name w:val="WW8Num1027z0"/>
    <w:qFormat/>
    <w:rPr>
      <w:rFonts w:ascii="Symbol" w:hAnsi="Symbol" w:cs="Symbol"/>
    </w:rPr>
  </w:style>
  <w:style w:type="character" w:styleId="WW8Num1028z0">
    <w:name w:val="WW8Num1028z0"/>
    <w:qFormat/>
    <w:rPr>
      <w:rFonts w:ascii="Times New Roman" w:hAnsi="Times New Roman" w:cs="Times New Roman"/>
      <w:b w:val="false"/>
      <w:i w:val="false"/>
      <w:sz w:val="24"/>
      <w:szCs w:val="24"/>
      <w:u w:val="none"/>
    </w:rPr>
  </w:style>
  <w:style w:type="character" w:styleId="WW8Num1029z0">
    <w:name w:val="WW8Num1029z0"/>
    <w:qFormat/>
    <w:rPr>
      <w:rFonts w:ascii="Symbol" w:hAnsi="Symbol" w:cs="Symbol"/>
    </w:rPr>
  </w:style>
  <w:style w:type="character" w:styleId="WW8Num1029z1">
    <w:name w:val="WW8Num1029z1"/>
    <w:qFormat/>
    <w:rPr>
      <w:rFonts w:ascii="Courier New" w:hAnsi="Courier New" w:cs="Courier New"/>
    </w:rPr>
  </w:style>
  <w:style w:type="character" w:styleId="WW8Num1029z2">
    <w:name w:val="WW8Num1029z2"/>
    <w:qFormat/>
    <w:rPr>
      <w:rFonts w:ascii="Wingdings" w:hAnsi="Wingdings" w:cs="Wingdings"/>
    </w:rPr>
  </w:style>
  <w:style w:type="character" w:styleId="WW8Num1030z0">
    <w:name w:val="WW8Num1030z0"/>
    <w:qFormat/>
    <w:rPr>
      <w:rFonts w:ascii="Symbol" w:hAnsi="Symbol" w:cs="Symbol"/>
    </w:rPr>
  </w:style>
  <w:style w:type="character" w:styleId="WW8Num1031z0">
    <w:name w:val="WW8Num1031z0"/>
    <w:qFormat/>
    <w:rPr/>
  </w:style>
  <w:style w:type="character" w:styleId="WW8Num1032z0">
    <w:name w:val="WW8Num1032z0"/>
    <w:qFormat/>
    <w:rPr/>
  </w:style>
  <w:style w:type="character" w:styleId="WW8Num1033z0">
    <w:name w:val="WW8Num1033z0"/>
    <w:qFormat/>
    <w:rPr>
      <w:rFonts w:ascii="Marlett" w:hAnsi="Marlett" w:cs="Marlett"/>
      <w:b/>
      <w:i w:val="false"/>
    </w:rPr>
  </w:style>
  <w:style w:type="character" w:styleId="WW8Num1034z0">
    <w:name w:val="WW8Num1034z0"/>
    <w:qFormat/>
    <w:rPr>
      <w:rFonts w:ascii="Symbol" w:hAnsi="Symbol" w:cs="Symbol"/>
    </w:rPr>
  </w:style>
  <w:style w:type="character" w:styleId="WW8Num1035z0">
    <w:name w:val="WW8Num1035z0"/>
    <w:qFormat/>
    <w:rPr>
      <w:rFonts w:ascii="Symbol" w:hAnsi="Symbol" w:cs="Symbol"/>
    </w:rPr>
  </w:style>
  <w:style w:type="character" w:styleId="WW8Num1036z0">
    <w:name w:val="WW8Num1036z0"/>
    <w:qFormat/>
    <w:rPr/>
  </w:style>
  <w:style w:type="character" w:styleId="WW8Num1037z0">
    <w:name w:val="WW8Num1037z0"/>
    <w:qFormat/>
    <w:rPr>
      <w:rFonts w:ascii="Symbol" w:hAnsi="Symbol" w:cs="Symbol"/>
    </w:rPr>
  </w:style>
  <w:style w:type="character" w:styleId="WW8Num1040z0">
    <w:name w:val="WW8Num1040z0"/>
    <w:qFormat/>
    <w:rPr>
      <w:b/>
    </w:rPr>
  </w:style>
  <w:style w:type="character" w:styleId="WW8Num1042z0">
    <w:name w:val="WW8Num1042z0"/>
    <w:qFormat/>
    <w:rPr>
      <w:rFonts w:ascii="Symbol" w:hAnsi="Symbol" w:cs="Symbol"/>
    </w:rPr>
  </w:style>
  <w:style w:type="character" w:styleId="WW8Num1045z0">
    <w:name w:val="WW8Num1045z0"/>
    <w:qFormat/>
    <w:rPr/>
  </w:style>
  <w:style w:type="character" w:styleId="WW8Num1046z0">
    <w:name w:val="WW8Num1046z0"/>
    <w:qFormat/>
    <w:rPr>
      <w:rFonts w:ascii="Symbol" w:hAnsi="Symbol" w:cs="Symbol"/>
    </w:rPr>
  </w:style>
  <w:style w:type="character" w:styleId="WW8Num1047z0">
    <w:name w:val="WW8Num1047z0"/>
    <w:qFormat/>
    <w:rPr>
      <w:rFonts w:ascii="Wingdings" w:hAnsi="Wingdings" w:cs="Wingdings"/>
    </w:rPr>
  </w:style>
  <w:style w:type="character" w:styleId="WW8Num1048z0">
    <w:name w:val="WW8Num1048z0"/>
    <w:qFormat/>
    <w:rPr>
      <w:rFonts w:ascii="Symbol" w:hAnsi="Symbol" w:cs="Symbol"/>
    </w:rPr>
  </w:style>
  <w:style w:type="character" w:styleId="WW8Num1050z0">
    <w:name w:val="WW8Num1050z0"/>
    <w:qFormat/>
    <w:rPr>
      <w:rFonts w:ascii="Symbol" w:hAnsi="Symbol" w:cs="Symbol"/>
    </w:rPr>
  </w:style>
  <w:style w:type="character" w:styleId="WW8Num1051z0">
    <w:name w:val="WW8Num1051z0"/>
    <w:qFormat/>
    <w:rPr>
      <w:rFonts w:ascii="Times New Roman" w:hAnsi="Times New Roman" w:eastAsia="Times New Roman" w:cs="Times New Roman"/>
    </w:rPr>
  </w:style>
  <w:style w:type="character" w:styleId="WW8Num1051z1">
    <w:name w:val="WW8Num1051z1"/>
    <w:qFormat/>
    <w:rPr>
      <w:rFonts w:ascii="Courier New" w:hAnsi="Courier New" w:cs="Courier New"/>
    </w:rPr>
  </w:style>
  <w:style w:type="character" w:styleId="WW8Num1051z2">
    <w:name w:val="WW8Num1051z2"/>
    <w:qFormat/>
    <w:rPr>
      <w:rFonts w:ascii="Wingdings" w:hAnsi="Wingdings" w:cs="Wingdings"/>
    </w:rPr>
  </w:style>
  <w:style w:type="character" w:styleId="WW8Num1051z3">
    <w:name w:val="WW8Num1051z3"/>
    <w:qFormat/>
    <w:rPr>
      <w:rFonts w:ascii="Symbol" w:hAnsi="Symbol" w:cs="Symbol"/>
    </w:rPr>
  </w:style>
  <w:style w:type="character" w:styleId="WW8Num1053z0">
    <w:name w:val="WW8Num1053z0"/>
    <w:qFormat/>
    <w:rPr>
      <w:b/>
    </w:rPr>
  </w:style>
  <w:style w:type="character" w:styleId="WW8Num1054z0">
    <w:name w:val="WW8Num1054z0"/>
    <w:qFormat/>
    <w:rPr>
      <w:rFonts w:ascii="Symbol" w:hAnsi="Symbol" w:cs="Symbol"/>
    </w:rPr>
  </w:style>
  <w:style w:type="character" w:styleId="WW8Num1054z1">
    <w:name w:val="WW8Num1054z1"/>
    <w:qFormat/>
    <w:rPr>
      <w:rFonts w:ascii="Courier New" w:hAnsi="Courier New" w:cs="Courier New"/>
    </w:rPr>
  </w:style>
  <w:style w:type="character" w:styleId="WW8Num1054z2">
    <w:name w:val="WW8Num1054z2"/>
    <w:qFormat/>
    <w:rPr>
      <w:rFonts w:ascii="Wingdings" w:hAnsi="Wingdings" w:cs="Wingdings"/>
    </w:rPr>
  </w:style>
  <w:style w:type="character" w:styleId="WW8Num1056z0">
    <w:name w:val="WW8Num1056z0"/>
    <w:qFormat/>
    <w:rPr>
      <w:rFonts w:ascii="Symbol" w:hAnsi="Symbol" w:cs="Symbol"/>
    </w:rPr>
  </w:style>
  <w:style w:type="character" w:styleId="WW8Num1057z0">
    <w:name w:val="WW8Num1057z0"/>
    <w:qFormat/>
    <w:rPr>
      <w:rFonts w:ascii="Marlett" w:hAnsi="Marlett" w:cs="Marlett"/>
      <w:b/>
      <w:i w:val="false"/>
    </w:rPr>
  </w:style>
  <w:style w:type="character" w:styleId="WW8Num1058z0">
    <w:name w:val="WW8Num1058z0"/>
    <w:qFormat/>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4z0">
    <w:name w:val="WW8Num1064z0"/>
    <w:qFormat/>
    <w:rPr>
      <w:rFonts w:ascii="Symbol" w:hAnsi="Symbol" w:cs="Symbol"/>
    </w:rPr>
  </w:style>
  <w:style w:type="character" w:styleId="WW8Num1065z0">
    <w:name w:val="WW8Num1065z0"/>
    <w:qFormat/>
    <w:rPr>
      <w:rFonts w:ascii="Symbol" w:hAnsi="Symbol" w:cs="Symbol"/>
    </w:rPr>
  </w:style>
  <w:style w:type="character" w:styleId="WW8Num1065z1">
    <w:name w:val="WW8Num1065z1"/>
    <w:qFormat/>
    <w:rPr>
      <w:rFonts w:ascii="Courier New" w:hAnsi="Courier New" w:cs="Courier New"/>
    </w:rPr>
  </w:style>
  <w:style w:type="character" w:styleId="WW8Num1065z2">
    <w:name w:val="WW8Num1065z2"/>
    <w:qFormat/>
    <w:rPr>
      <w:rFonts w:ascii="Wingdings" w:hAnsi="Wingdings" w:cs="Wingdings"/>
    </w:rPr>
  </w:style>
  <w:style w:type="character" w:styleId="WW8Num1066z0">
    <w:name w:val="WW8Num1066z0"/>
    <w:qFormat/>
    <w:rPr>
      <w:rFonts w:ascii="Times New Roman" w:hAnsi="Times New Roman" w:cs="Times New Roman"/>
      <w:b w:val="false"/>
      <w:i w:val="false"/>
      <w:sz w:val="24"/>
    </w:rPr>
  </w:style>
  <w:style w:type="character" w:styleId="WW8Num1066z2">
    <w:name w:val="WW8Num1066z2"/>
    <w:qFormat/>
    <w:rPr>
      <w:rFonts w:ascii="Times New Roman" w:hAnsi="Times New Roman" w:cs="Times New Roman"/>
      <w:b/>
      <w:i w:val="false"/>
    </w:rPr>
  </w:style>
  <w:style w:type="character" w:styleId="WW8Num1066z3">
    <w:name w:val="WW8Num1066z3"/>
    <w:qFormat/>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Symbol" w:hAnsi="Symbol" w:cs="Symbol"/>
      <w:color w:val="auto"/>
    </w:rPr>
  </w:style>
  <w:style w:type="character" w:styleId="WW8Num1070z0">
    <w:name w:val="WW8Num1070z0"/>
    <w:qFormat/>
    <w:rPr>
      <w:rFonts w:ascii="Symbol" w:hAnsi="Symbol" w:cs="Symbol"/>
    </w:rPr>
  </w:style>
  <w:style w:type="character" w:styleId="WW8Num1071z0">
    <w:name w:val="WW8Num1071z0"/>
    <w:qFormat/>
    <w:rPr>
      <w:rFonts w:ascii="Symbol" w:hAnsi="Symbol" w:cs="Symbol"/>
    </w:rPr>
  </w:style>
  <w:style w:type="character" w:styleId="WW8Num1072z0">
    <w:name w:val="WW8Num1072z0"/>
    <w:qFormat/>
    <w:rPr/>
  </w:style>
  <w:style w:type="character" w:styleId="WW8Num1074z0">
    <w:name w:val="WW8Num1074z0"/>
    <w:qFormat/>
    <w:rPr>
      <w:rFonts w:ascii="Wingdings" w:hAnsi="Wingdings" w:cs="Wingdings"/>
    </w:rPr>
  </w:style>
  <w:style w:type="character" w:styleId="WW8Num1075z0">
    <w:name w:val="WW8Num1075z0"/>
    <w:qFormat/>
    <w:rPr>
      <w:rFonts w:ascii="Univers" w:hAnsi="Univers" w:cs="Univers"/>
      <w:b/>
      <w:i w:val="false"/>
      <w:sz w:val="28"/>
      <w:szCs w:val="28"/>
    </w:rPr>
  </w:style>
  <w:style w:type="character" w:styleId="WW8Num1075z1">
    <w:name w:val="WW8Num1075z1"/>
    <w:qFormat/>
    <w:rPr>
      <w:rFonts w:ascii="Univers" w:hAnsi="Univers" w:cs="Univers"/>
      <w:b/>
      <w:i w:val="false"/>
      <w:sz w:val="24"/>
      <w:szCs w:val="24"/>
    </w:rPr>
  </w:style>
  <w:style w:type="character" w:styleId="WW8Num1075z8">
    <w:name w:val="WW8Num1075z8"/>
    <w:qFormat/>
    <w:rPr>
      <w:rFonts w:ascii="Univers" w:hAnsi="Univers" w:cs="Univers"/>
      <w:b w:val="false"/>
      <w:i w:val="false"/>
      <w:sz w:val="24"/>
      <w:szCs w:val="24"/>
    </w:rPr>
  </w:style>
  <w:style w:type="character" w:styleId="WW8Num1076z0">
    <w:name w:val="WW8Num1076z0"/>
    <w:qFormat/>
    <w:rPr>
      <w:rFonts w:ascii="Times New Roman" w:hAnsi="Times New Roman" w:cs="Times New Roman"/>
      <w:b w:val="false"/>
      <w:i w:val="false"/>
      <w:sz w:val="24"/>
      <w:szCs w:val="24"/>
      <w:u w:val="none"/>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79z1">
    <w:name w:val="WW8Num1079z1"/>
    <w:qFormat/>
    <w:rPr>
      <w:rFonts w:ascii="Courier New" w:hAnsi="Courier New" w:cs="Courier New"/>
    </w:rPr>
  </w:style>
  <w:style w:type="character" w:styleId="WW8Num1079z2">
    <w:name w:val="WW8Num1079z2"/>
    <w:qFormat/>
    <w:rPr>
      <w:rFonts w:ascii="Wingdings" w:hAnsi="Wingdings" w:cs="Wingdings"/>
    </w:rPr>
  </w:style>
  <w:style w:type="character" w:styleId="WW8Num1080z0">
    <w:name w:val="WW8Num1080z0"/>
    <w:qFormat/>
    <w:rPr>
      <w:rFonts w:ascii="Symbol" w:hAnsi="Symbol" w:cs="Symbol"/>
    </w:rPr>
  </w:style>
  <w:style w:type="character" w:styleId="WW8Num1080z1">
    <w:name w:val="WW8Num1080z1"/>
    <w:qFormat/>
    <w:rPr>
      <w:rFonts w:ascii="Courier New" w:hAnsi="Courier New" w:cs="Courier New"/>
    </w:rPr>
  </w:style>
  <w:style w:type="character" w:styleId="WW8Num1080z2">
    <w:name w:val="WW8Num1080z2"/>
    <w:qFormat/>
    <w:rPr>
      <w:rFonts w:ascii="Wingdings" w:hAnsi="Wingdings" w:cs="Wingdings"/>
    </w:rPr>
  </w:style>
  <w:style w:type="character" w:styleId="WW8Num1082z0">
    <w:name w:val="WW8Num1082z0"/>
    <w:qFormat/>
    <w:rPr>
      <w:rFonts w:ascii="Symbol" w:hAnsi="Symbol" w:cs="Symbol"/>
    </w:rPr>
  </w:style>
  <w:style w:type="character" w:styleId="WW8Num1083z0">
    <w:name w:val="WW8Num1083z0"/>
    <w:qFormat/>
    <w:rPr/>
  </w:style>
  <w:style w:type="character" w:styleId="WW8Num1085z0">
    <w:name w:val="WW8Num1085z0"/>
    <w:qFormat/>
    <w:rPr/>
  </w:style>
  <w:style w:type="character" w:styleId="WW8Num1087z0">
    <w:name w:val="WW8Num1087z0"/>
    <w:qFormat/>
    <w:rPr>
      <w:sz w:val="20"/>
    </w:rPr>
  </w:style>
  <w:style w:type="character" w:styleId="WW8Num1088z0">
    <w:name w:val="WW8Num1088z0"/>
    <w:qFormat/>
    <w:rPr>
      <w:rFonts w:ascii="Symbol" w:hAnsi="Symbol" w:cs="Symbol"/>
      <w:sz w:val="22"/>
    </w:rPr>
  </w:style>
  <w:style w:type="character" w:styleId="WW8Num1091z0">
    <w:name w:val="WW8Num1091z0"/>
    <w:qFormat/>
    <w:rPr/>
  </w:style>
  <w:style w:type="character" w:styleId="WW8Num1092z0">
    <w:name w:val="WW8Num1092z0"/>
    <w:qFormat/>
    <w:rPr/>
  </w:style>
  <w:style w:type="character" w:styleId="WW8Num1093z0">
    <w:name w:val="WW8Num1093z0"/>
    <w:qFormat/>
    <w:rPr>
      <w:b w:val="false"/>
      <w:i w:val="false"/>
    </w:rPr>
  </w:style>
  <w:style w:type="character" w:styleId="WW8Num1095z0">
    <w:name w:val="WW8Num1095z0"/>
    <w:qFormat/>
    <w:rPr/>
  </w:style>
  <w:style w:type="character" w:styleId="WW8Num1096z0">
    <w:name w:val="WW8Num1096z0"/>
    <w:qFormat/>
    <w:rPr>
      <w:rFonts w:ascii="Symbol" w:hAnsi="Symbol" w:cs="Symbol"/>
      <w:color w:val="auto"/>
      <w:sz w:val="20"/>
    </w:rPr>
  </w:style>
  <w:style w:type="character" w:styleId="WW8Num1097z0">
    <w:name w:val="WW8Num1097z0"/>
    <w:qFormat/>
    <w:rPr>
      <w:b w:val="false"/>
      <w:i w:val="false"/>
      <w:u w:val="none"/>
    </w:rPr>
  </w:style>
  <w:style w:type="character" w:styleId="WW8Num1098z0">
    <w:name w:val="WW8Num1098z0"/>
    <w:qFormat/>
    <w:rPr/>
  </w:style>
  <w:style w:type="character" w:styleId="WW8Num1099z0">
    <w:name w:val="WW8Num1099z0"/>
    <w:qFormat/>
    <w:rPr>
      <w:rFonts w:ascii="Symbol" w:hAnsi="Symbol" w:cs="Symbol"/>
    </w:rPr>
  </w:style>
  <w:style w:type="character" w:styleId="WW8Num1099z1">
    <w:name w:val="WW8Num1099z1"/>
    <w:qFormat/>
    <w:rPr>
      <w:rFonts w:ascii="Courier New" w:hAnsi="Courier New" w:cs="Courier New"/>
    </w:rPr>
  </w:style>
  <w:style w:type="character" w:styleId="WW8Num1099z2">
    <w:name w:val="WW8Num1099z2"/>
    <w:qFormat/>
    <w:rPr>
      <w:rFonts w:ascii="Wingdings" w:hAnsi="Wingdings" w:cs="Wingdings"/>
    </w:rPr>
  </w:style>
  <w:style w:type="character" w:styleId="WW8Num1101z0">
    <w:name w:val="WW8Num1101z0"/>
    <w:qFormat/>
    <w:rPr/>
  </w:style>
  <w:style w:type="character" w:styleId="WW8Num1104z0">
    <w:name w:val="WW8Num1104z0"/>
    <w:qFormat/>
    <w:rPr/>
  </w:style>
  <w:style w:type="character" w:styleId="WW8Num1105z0">
    <w:name w:val="WW8Num1105z0"/>
    <w:qFormat/>
    <w:rPr>
      <w:rFonts w:ascii="Symbol" w:hAnsi="Symbol" w:cs="Symbol"/>
    </w:rPr>
  </w:style>
  <w:style w:type="character" w:styleId="WW8Num1105z1">
    <w:name w:val="WW8Num1105z1"/>
    <w:qFormat/>
    <w:rPr>
      <w:rFonts w:ascii="Courier New" w:hAnsi="Courier New" w:cs="Courier New"/>
    </w:rPr>
  </w:style>
  <w:style w:type="character" w:styleId="WW8Num1105z2">
    <w:name w:val="WW8Num1105z2"/>
    <w:qFormat/>
    <w:rPr>
      <w:rFonts w:ascii="Wingdings" w:hAnsi="Wingdings" w:cs="Wingdings"/>
    </w:rPr>
  </w:style>
  <w:style w:type="character" w:styleId="WW8Num1106z0">
    <w:name w:val="WW8Num1106z0"/>
    <w:qFormat/>
    <w:rPr>
      <w:rFonts w:ascii="Symbol" w:hAnsi="Symbol" w:cs="Symbol"/>
      <w:color w:val="auto"/>
    </w:rPr>
  </w:style>
  <w:style w:type="character" w:styleId="WW8Num1107z0">
    <w:name w:val="WW8Num1107z0"/>
    <w:qFormat/>
    <w:rPr>
      <w:rFonts w:ascii="Symbol" w:hAnsi="Symbol" w:cs="Symbol"/>
    </w:rPr>
  </w:style>
  <w:style w:type="character" w:styleId="WW8Num1109z0">
    <w:name w:val="WW8Num1109z0"/>
    <w:qFormat/>
    <w:rPr/>
  </w:style>
  <w:style w:type="character" w:styleId="WW8Num1111z0">
    <w:name w:val="WW8Num1111z0"/>
    <w:qFormat/>
    <w:rPr>
      <w:rFonts w:ascii="Symbol" w:hAnsi="Symbol" w:cs="Symbol"/>
      <w:color w:val="000000"/>
      <w:sz w:val="18"/>
      <w:szCs w:val="18"/>
    </w:rPr>
  </w:style>
  <w:style w:type="character" w:styleId="WW8Num1112z0">
    <w:name w:val="WW8Num1112z0"/>
    <w:qFormat/>
    <w:rPr>
      <w:rFonts w:ascii="Symbol" w:hAnsi="Symbol" w:cs="Symbol"/>
    </w:rPr>
  </w:style>
  <w:style w:type="character" w:styleId="WW8Num1114z0">
    <w:name w:val="WW8Num1114z0"/>
    <w:qFormat/>
    <w:rPr/>
  </w:style>
  <w:style w:type="character" w:styleId="WW8Num1115z0">
    <w:name w:val="WW8Num1115z0"/>
    <w:qFormat/>
    <w:rPr>
      <w:rFonts w:ascii="Symbol" w:hAnsi="Symbol" w:cs="Symbol"/>
    </w:rPr>
  </w:style>
  <w:style w:type="character" w:styleId="WW8Num1116z0">
    <w:name w:val="WW8Num1116z0"/>
    <w:qFormat/>
    <w:rPr>
      <w:rFonts w:ascii="Symbol" w:hAnsi="Symbol" w:cs="Symbol"/>
    </w:rPr>
  </w:style>
  <w:style w:type="character" w:styleId="WW8Num1117z0">
    <w:name w:val="WW8Num1117z0"/>
    <w:qFormat/>
    <w:rPr>
      <w:rFonts w:ascii="Univers" w:hAnsi="Univers" w:cs="Univers"/>
      <w:b/>
      <w:i w:val="false"/>
      <w:sz w:val="28"/>
      <w:szCs w:val="28"/>
    </w:rPr>
  </w:style>
  <w:style w:type="character" w:styleId="WW8Num1117z1">
    <w:name w:val="WW8Num1117z1"/>
    <w:qFormat/>
    <w:rPr>
      <w:rFonts w:ascii="Univers" w:hAnsi="Univers" w:cs="Univers"/>
      <w:b/>
      <w:i w:val="false"/>
      <w:sz w:val="24"/>
      <w:szCs w:val="24"/>
    </w:rPr>
  </w:style>
  <w:style w:type="character" w:styleId="WW8Num1117z8">
    <w:name w:val="WW8Num1117z8"/>
    <w:qFormat/>
    <w:rPr>
      <w:rFonts w:ascii="Univers" w:hAnsi="Univers" w:cs="Univers"/>
      <w:b w:val="false"/>
      <w:i w:val="false"/>
      <w:sz w:val="24"/>
      <w:szCs w:val="24"/>
    </w:rPr>
  </w:style>
  <w:style w:type="character" w:styleId="WW8Num1118z0">
    <w:name w:val="WW8Num1118z0"/>
    <w:qFormat/>
    <w:rPr/>
  </w:style>
  <w:style w:type="character" w:styleId="WW8Num1120z0">
    <w:name w:val="WW8Num1120z0"/>
    <w:qFormat/>
    <w:rPr/>
  </w:style>
  <w:style w:type="character" w:styleId="WW8Num1121z0">
    <w:name w:val="WW8Num1121z0"/>
    <w:qFormat/>
    <w:rPr/>
  </w:style>
  <w:style w:type="character" w:styleId="WW8Num1122z0">
    <w:name w:val="WW8Num1122z0"/>
    <w:qFormat/>
    <w:rPr>
      <w:rFonts w:ascii="Symbol" w:hAnsi="Symbol" w:cs="Symbol"/>
    </w:rPr>
  </w:style>
  <w:style w:type="character" w:styleId="WW8Num1123z0">
    <w:name w:val="WW8Num1123z0"/>
    <w:qFormat/>
    <w:rPr>
      <w:rFonts w:ascii="Symbol" w:hAnsi="Symbol" w:cs="Symbol"/>
    </w:rPr>
  </w:style>
  <w:style w:type="character" w:styleId="WW8Num1124z0">
    <w:name w:val="WW8Num1124z0"/>
    <w:qFormat/>
    <w:rPr>
      <w:rFonts w:ascii="Times New Roman" w:hAnsi="Times New Roman" w:cs="Times New Roman"/>
      <w:b/>
      <w:i w:val="false"/>
      <w:sz w:val="22"/>
    </w:rPr>
  </w:style>
  <w:style w:type="character" w:styleId="WW8Num1125z0">
    <w:name w:val="WW8Num1125z0"/>
    <w:qFormat/>
    <w:rPr>
      <w:sz w:val="20"/>
    </w:rPr>
  </w:style>
  <w:style w:type="character" w:styleId="WW8Num1126z0">
    <w:name w:val="WW8Num1126z0"/>
    <w:qFormat/>
    <w:rPr>
      <w:rFonts w:ascii="Symbol" w:hAnsi="Symbol" w:cs="Symbol"/>
    </w:rPr>
  </w:style>
  <w:style w:type="character" w:styleId="WW8Num1128z0">
    <w:name w:val="WW8Num1128z0"/>
    <w:qFormat/>
    <w:rPr/>
  </w:style>
  <w:style w:type="character" w:styleId="WW8Num1129z0">
    <w:name w:val="WW8Num1129z0"/>
    <w:qFormat/>
    <w:rPr>
      <w:rFonts w:ascii="Symbol" w:hAnsi="Symbol" w:cs="Symbol"/>
    </w:rPr>
  </w:style>
  <w:style w:type="character" w:styleId="WW8Num1129z1">
    <w:name w:val="WW8Num1129z1"/>
    <w:qFormat/>
    <w:rPr>
      <w:rFonts w:ascii="Courier New" w:hAnsi="Courier New" w:cs="Courier New"/>
    </w:rPr>
  </w:style>
  <w:style w:type="character" w:styleId="WW8Num1129z2">
    <w:name w:val="WW8Num1129z2"/>
    <w:qFormat/>
    <w:rPr>
      <w:rFonts w:ascii="Wingdings" w:hAnsi="Wingdings" w:cs="Wingdings"/>
    </w:rPr>
  </w:style>
  <w:style w:type="character" w:styleId="WW8Num1130z0">
    <w:name w:val="WW8Num1130z0"/>
    <w:qFormat/>
    <w:rPr>
      <w:rFonts w:ascii="Symbol" w:hAnsi="Symbol" w:cs="Symbol"/>
      <w:color w:val="auto"/>
    </w:rPr>
  </w:style>
  <w:style w:type="character" w:styleId="WW8Num1131z0">
    <w:name w:val="WW8Num1131z0"/>
    <w:qFormat/>
    <w:rPr>
      <w:rFonts w:ascii="Symbol" w:hAnsi="Symbol" w:cs="Symbol"/>
    </w:rPr>
  </w:style>
  <w:style w:type="character" w:styleId="WW8Num1133z0">
    <w:name w:val="WW8Num1133z0"/>
    <w:qFormat/>
    <w:rPr/>
  </w:style>
  <w:style w:type="character" w:styleId="WW8Num1134z0">
    <w:name w:val="WW8Num1134z0"/>
    <w:qFormat/>
    <w:rPr>
      <w:rFonts w:ascii="Courier New" w:hAnsi="Courier New" w:cs="Courier New"/>
      <w:b/>
      <w:i w:val="false"/>
      <w:sz w:val="24"/>
      <w:szCs w:val="24"/>
    </w:rPr>
  </w:style>
  <w:style w:type="character" w:styleId="WW8Num1134z4">
    <w:name w:val="WW8Num1134z4"/>
    <w:qFormat/>
    <w:rPr>
      <w:rFonts w:ascii="Courier New" w:hAnsi="Courier New" w:cs="Courier New"/>
      <w:b w:val="false"/>
      <w:i w:val="false"/>
      <w:sz w:val="24"/>
      <w:szCs w:val="24"/>
    </w:rPr>
  </w:style>
  <w:style w:type="character" w:styleId="WW8Num1134z6">
    <w:name w:val="WW8Num1134z6"/>
    <w:qFormat/>
    <w:rPr>
      <w:rFonts w:ascii="Courier New" w:hAnsi="Courier New" w:cs="Courier New"/>
      <w:b w:val="false"/>
      <w:i w:val="false"/>
      <w:caps w:val="false"/>
      <w:smallCaps w:val="false"/>
      <w:strike w:val="false"/>
      <w:dstrike w:val="false"/>
      <w:outline w:val="false"/>
      <w:shadow w:val="false"/>
      <w:vanish w:val="false"/>
      <w:color w:val="000000"/>
      <w:position w:val="0"/>
      <w:sz w:val="24"/>
      <w:sz w:val="24"/>
      <w:szCs w:val="24"/>
      <w:vertAlign w:val="baseline"/>
    </w:rPr>
  </w:style>
  <w:style w:type="character" w:styleId="WW8Num1136z0">
    <w:name w:val="WW8Num1136z0"/>
    <w:qFormat/>
    <w:rPr/>
  </w:style>
  <w:style w:type="character" w:styleId="WW8Num1137z0">
    <w:name w:val="WW8Num1137z0"/>
    <w:qFormat/>
    <w:rPr/>
  </w:style>
  <w:style w:type="character" w:styleId="WW8Num1138z0">
    <w:name w:val="WW8Num1138z0"/>
    <w:qFormat/>
    <w:rPr/>
  </w:style>
  <w:style w:type="character" w:styleId="WW8Num1139z0">
    <w:name w:val="WW8Num1139z0"/>
    <w:qFormat/>
    <w:rPr/>
  </w:style>
  <w:style w:type="character" w:styleId="WW8Num1140z0">
    <w:name w:val="WW8Num1140z0"/>
    <w:qFormat/>
    <w:rPr>
      <w:rFonts w:ascii="Symbol" w:hAnsi="Symbol" w:cs="Symbol"/>
    </w:rPr>
  </w:style>
  <w:style w:type="character" w:styleId="WW8Num1141z0">
    <w:name w:val="WW8Num1141z0"/>
    <w:qFormat/>
    <w:rPr>
      <w:rFonts w:ascii="Symbol" w:hAnsi="Symbol" w:cs="Symbol"/>
      <w:color w:val="auto"/>
    </w:rPr>
  </w:style>
  <w:style w:type="character" w:styleId="WW8Num1142z0">
    <w:name w:val="WW8Num1142z0"/>
    <w:qFormat/>
    <w:rPr/>
  </w:style>
  <w:style w:type="character" w:styleId="WW8Num1143z0">
    <w:name w:val="WW8Num1143z0"/>
    <w:qFormat/>
    <w:rPr>
      <w:b/>
    </w:rPr>
  </w:style>
  <w:style w:type="character" w:styleId="WW8Num1143z1">
    <w:name w:val="WW8Num1143z1"/>
    <w:qFormat/>
    <w:rPr>
      <w:rFonts w:ascii="Symbol" w:hAnsi="Symbol" w:cs="Symbol"/>
    </w:rPr>
  </w:style>
  <w:style w:type="character" w:styleId="WW8Num1144z0">
    <w:name w:val="WW8Num1144z0"/>
    <w:qFormat/>
    <w:rPr>
      <w:rFonts w:ascii="Symbol" w:hAnsi="Symbol" w:cs="Symbol"/>
    </w:rPr>
  </w:style>
  <w:style w:type="character" w:styleId="WW8Num1145z0">
    <w:name w:val="WW8Num1145z0"/>
    <w:qFormat/>
    <w:rPr/>
  </w:style>
  <w:style w:type="character" w:styleId="WW8Num1146z0">
    <w:name w:val="WW8Num1146z0"/>
    <w:qFormat/>
    <w:rPr>
      <w:rFonts w:ascii="Symbol" w:hAnsi="Symbol" w:cs="Symbol"/>
    </w:rPr>
  </w:style>
  <w:style w:type="character" w:styleId="WW8Num1147z0">
    <w:name w:val="WW8Num1147z0"/>
    <w:qFormat/>
    <w:rPr/>
  </w:style>
  <w:style w:type="character" w:styleId="WW8Num1148z0">
    <w:name w:val="WW8Num1148z0"/>
    <w:qFormat/>
    <w:rPr>
      <w:rFonts w:ascii="Symbol" w:hAnsi="Symbol" w:cs="Symbol"/>
    </w:rPr>
  </w:style>
  <w:style w:type="character" w:styleId="WW8Num1148z1">
    <w:name w:val="WW8Num1148z1"/>
    <w:qFormat/>
    <w:rPr>
      <w:rFonts w:ascii="Courier New" w:hAnsi="Courier New" w:cs="Courier New"/>
    </w:rPr>
  </w:style>
  <w:style w:type="character" w:styleId="WW8Num1148z2">
    <w:name w:val="WW8Num1148z2"/>
    <w:qFormat/>
    <w:rPr>
      <w:rFonts w:ascii="Wingdings" w:hAnsi="Wingdings" w:cs="Wingdings"/>
    </w:rPr>
  </w:style>
  <w:style w:type="character" w:styleId="WW8Num1149z0">
    <w:name w:val="WW8Num1149z0"/>
    <w:qFormat/>
    <w:rPr>
      <w:rFonts w:ascii="Symbol" w:hAnsi="Symbol" w:cs="Symbol"/>
    </w:rPr>
  </w:style>
  <w:style w:type="character" w:styleId="WW8Num1149z1">
    <w:name w:val="WW8Num1149z1"/>
    <w:qFormat/>
    <w:rPr>
      <w:rFonts w:ascii="Courier New" w:hAnsi="Courier New" w:cs="Courier New"/>
    </w:rPr>
  </w:style>
  <w:style w:type="character" w:styleId="WW8Num1149z2">
    <w:name w:val="WW8Num1149z2"/>
    <w:qFormat/>
    <w:rPr>
      <w:rFonts w:ascii="Wingdings" w:hAnsi="Wingdings" w:cs="Wingdings"/>
    </w:rPr>
  </w:style>
  <w:style w:type="character" w:styleId="WW8Num1150z0">
    <w:name w:val="WW8Num1150z0"/>
    <w:qFormat/>
    <w:rPr>
      <w:rFonts w:ascii="Symbol" w:hAnsi="Symbol" w:cs="Symbol"/>
    </w:rPr>
  </w:style>
  <w:style w:type="character" w:styleId="WW8Num1151z0">
    <w:name w:val="WW8Num1151z0"/>
    <w:qFormat/>
    <w:rPr/>
  </w:style>
  <w:style w:type="character" w:styleId="WW8Num1151z1">
    <w:name w:val="WW8Num1151z1"/>
    <w:qFormat/>
    <w:rPr>
      <w:rFonts w:ascii="Wingdings" w:hAnsi="Wingdings" w:cs="Wingdings"/>
    </w:rPr>
  </w:style>
  <w:style w:type="character" w:styleId="WW8Num1152z0">
    <w:name w:val="WW8Num1152z0"/>
    <w:qFormat/>
    <w:rPr/>
  </w:style>
  <w:style w:type="character" w:styleId="WW8Num1153z0">
    <w:name w:val="WW8Num1153z0"/>
    <w:qFormat/>
    <w:rPr>
      <w:rFonts w:ascii="Symbol" w:hAnsi="Symbol" w:cs="Symbol"/>
    </w:rPr>
  </w:style>
  <w:style w:type="character" w:styleId="WW8Num1154z0">
    <w:name w:val="WW8Num1154z0"/>
    <w:qFormat/>
    <w:rPr>
      <w:rFonts w:ascii="Symbol" w:hAnsi="Symbol" w:cs="Symbol"/>
    </w:rPr>
  </w:style>
  <w:style w:type="character" w:styleId="WW8Num1156z0">
    <w:name w:val="WW8Num1156z0"/>
    <w:qFormat/>
    <w:rPr>
      <w:rFonts w:ascii="Times New Roman" w:hAnsi="Times New Roman" w:cs="Times New Roman"/>
      <w:b w:val="false"/>
      <w:i w:val="false"/>
      <w:sz w:val="22"/>
    </w:rPr>
  </w:style>
  <w:style w:type="character" w:styleId="WW8Num1157z0">
    <w:name w:val="WW8Num1157z0"/>
    <w:qFormat/>
    <w:rPr>
      <w:rFonts w:ascii="Symbol" w:hAnsi="Symbol" w:cs="Symbol"/>
    </w:rPr>
  </w:style>
  <w:style w:type="character" w:styleId="WW8Num1157z1">
    <w:name w:val="WW8Num1157z1"/>
    <w:qFormat/>
    <w:rPr>
      <w:rFonts w:ascii="Courier New" w:hAnsi="Courier New" w:cs="Courier New"/>
    </w:rPr>
  </w:style>
  <w:style w:type="character" w:styleId="WW8Num1157z2">
    <w:name w:val="WW8Num1157z2"/>
    <w:qFormat/>
    <w:rPr>
      <w:rFonts w:ascii="Wingdings" w:hAnsi="Wingdings" w:cs="Wingdings"/>
    </w:rPr>
  </w:style>
  <w:style w:type="character" w:styleId="WW8Num1159z0">
    <w:name w:val="WW8Num1159z0"/>
    <w:qFormat/>
    <w:rPr>
      <w:rFonts w:ascii="Symbol" w:hAnsi="Symbol" w:cs="Symbol"/>
      <w:color w:val="auto"/>
    </w:rPr>
  </w:style>
  <w:style w:type="character" w:styleId="WW8Num1160z0">
    <w:name w:val="WW8Num1160z0"/>
    <w:qFormat/>
    <w:rPr>
      <w:rFonts w:ascii="Symbol" w:hAnsi="Symbol" w:cs="Symbol"/>
    </w:rPr>
  </w:style>
  <w:style w:type="character" w:styleId="WW8Num1161z0">
    <w:name w:val="WW8Num1161z0"/>
    <w:qFormat/>
    <w:rPr>
      <w:rFonts w:ascii="Times New Roman" w:hAnsi="Times New Roman" w:eastAsia="Times New Roman" w:cs="Times New Roman"/>
    </w:rPr>
  </w:style>
  <w:style w:type="character" w:styleId="WW8Num1161z1">
    <w:name w:val="WW8Num1161z1"/>
    <w:qFormat/>
    <w:rPr>
      <w:rFonts w:ascii="Courier New" w:hAnsi="Courier New" w:cs="Courier New"/>
    </w:rPr>
  </w:style>
  <w:style w:type="character" w:styleId="WW8Num1161z2">
    <w:name w:val="WW8Num1161z2"/>
    <w:qFormat/>
    <w:rPr>
      <w:rFonts w:ascii="Wingdings" w:hAnsi="Wingdings" w:cs="Wingdings"/>
    </w:rPr>
  </w:style>
  <w:style w:type="character" w:styleId="WW8Num1161z3">
    <w:name w:val="WW8Num1161z3"/>
    <w:qFormat/>
    <w:rPr>
      <w:rFonts w:ascii="Symbol" w:hAnsi="Symbol" w:cs="Symbol"/>
    </w:rPr>
  </w:style>
  <w:style w:type="character" w:styleId="WW8Num1162z0">
    <w:name w:val="WW8Num1162z0"/>
    <w:qFormat/>
    <w:rPr>
      <w:rFonts w:ascii="Symbol" w:hAnsi="Symbol" w:cs="Symbol"/>
    </w:rPr>
  </w:style>
  <w:style w:type="character" w:styleId="WW8Num1163z0">
    <w:name w:val="WW8Num1163z0"/>
    <w:qFormat/>
    <w:rPr>
      <w:rFonts w:ascii="Symbol" w:hAnsi="Symbol" w:cs="Symbol"/>
    </w:rPr>
  </w:style>
  <w:style w:type="character" w:styleId="WW8Num1164z0">
    <w:name w:val="WW8Num1164z0"/>
    <w:qFormat/>
    <w:rPr/>
  </w:style>
  <w:style w:type="character" w:styleId="WW8Num1165z0">
    <w:name w:val="WW8Num1165z0"/>
    <w:qFormat/>
    <w:rPr>
      <w:rFonts w:ascii="Symbol" w:hAnsi="Symbol" w:cs="Symbol"/>
    </w:rPr>
  </w:style>
  <w:style w:type="character" w:styleId="WW8Num1166z0">
    <w:name w:val="WW8Num1166z0"/>
    <w:qFormat/>
    <w:rPr>
      <w:rFonts w:ascii="Symbol" w:hAnsi="Symbol" w:cs="Symbol"/>
      <w:color w:val="000000"/>
      <w:sz w:val="18"/>
      <w:szCs w:val="18"/>
    </w:rPr>
  </w:style>
  <w:style w:type="character" w:styleId="WW8Num1168z0">
    <w:name w:val="WW8Num1168z0"/>
    <w:qFormat/>
    <w:rPr/>
  </w:style>
  <w:style w:type="character" w:styleId="WW8Num1169z0">
    <w:name w:val="WW8Num1169z0"/>
    <w:qFormat/>
    <w:rPr>
      <w:rFonts w:ascii="Symbol" w:hAnsi="Symbol" w:cs="Symbol"/>
    </w:rPr>
  </w:style>
  <w:style w:type="character" w:styleId="WW8Num1170z0">
    <w:name w:val="WW8Num1170z0"/>
    <w:qFormat/>
    <w:rPr/>
  </w:style>
  <w:style w:type="character" w:styleId="WW8Num1171z0">
    <w:name w:val="WW8Num1171z0"/>
    <w:qFormat/>
    <w:rPr/>
  </w:style>
  <w:style w:type="character" w:styleId="WW8Num1172z0">
    <w:name w:val="WW8Num1172z0"/>
    <w:qFormat/>
    <w:rPr>
      <w:rFonts w:ascii="Symbol" w:hAnsi="Symbol" w:cs="Symbol"/>
    </w:rPr>
  </w:style>
  <w:style w:type="character" w:styleId="WW8Num1173z0">
    <w:name w:val="WW8Num1173z0"/>
    <w:qFormat/>
    <w:rPr/>
  </w:style>
  <w:style w:type="character" w:styleId="WW8Num1174z0">
    <w:name w:val="WW8Num1174z0"/>
    <w:qFormat/>
    <w:rPr/>
  </w:style>
  <w:style w:type="character" w:styleId="WW8Num1175z0">
    <w:name w:val="WW8Num1175z0"/>
    <w:qFormat/>
    <w:rPr>
      <w:rFonts w:ascii="Symbol" w:hAnsi="Symbol" w:cs="Symbol"/>
    </w:rPr>
  </w:style>
  <w:style w:type="character" w:styleId="WW8Num1176z0">
    <w:name w:val="WW8Num1176z0"/>
    <w:qFormat/>
    <w:rPr>
      <w:rFonts w:ascii="Symbol" w:hAnsi="Symbol" w:cs="Symbol"/>
    </w:rPr>
  </w:style>
  <w:style w:type="character" w:styleId="WW8Num1177z0">
    <w:name w:val="WW8Num1177z0"/>
    <w:qFormat/>
    <w:rPr/>
  </w:style>
  <w:style w:type="character" w:styleId="WW8Num1178z0">
    <w:name w:val="WW8Num1178z0"/>
    <w:qFormat/>
    <w:rPr/>
  </w:style>
  <w:style w:type="character" w:styleId="WW8Num1179z0">
    <w:name w:val="WW8Num1179z0"/>
    <w:qFormat/>
    <w:rPr/>
  </w:style>
  <w:style w:type="character" w:styleId="WW8Num1180z0">
    <w:name w:val="WW8Num1180z0"/>
    <w:qFormat/>
    <w:rPr>
      <w:rFonts w:ascii="Marlett" w:hAnsi="Marlett" w:cs="Marlett"/>
    </w:rPr>
  </w:style>
  <w:style w:type="character" w:styleId="WW8Num1181z0">
    <w:name w:val="WW8Num1181z0"/>
    <w:qFormat/>
    <w:rPr>
      <w:rFonts w:ascii="Century Schoolbook" w:hAnsi="Century Schoolbook" w:cs="Century Schoolbook"/>
      <w:b w:val="false"/>
      <w:i w:val="false"/>
      <w:sz w:val="22"/>
    </w:rPr>
  </w:style>
  <w:style w:type="character" w:styleId="WW8Num1182z0">
    <w:name w:val="WW8Num1182z0"/>
    <w:qFormat/>
    <w:rPr>
      <w:rFonts w:ascii="Symbol" w:hAnsi="Symbol" w:cs="Symbol"/>
    </w:rPr>
  </w:style>
  <w:style w:type="character" w:styleId="WW8Num1186z0">
    <w:name w:val="WW8Num1186z0"/>
    <w:qFormat/>
    <w:rPr>
      <w:rFonts w:ascii="Symbol" w:hAnsi="Symbol" w:cs="Symbol"/>
    </w:rPr>
  </w:style>
  <w:style w:type="character" w:styleId="WW8Num1186z1">
    <w:name w:val="WW8Num1186z1"/>
    <w:qFormat/>
    <w:rPr>
      <w:rFonts w:ascii="Wingdings" w:hAnsi="Wingdings" w:cs="Wingdings"/>
    </w:rPr>
  </w:style>
  <w:style w:type="character" w:styleId="WW8Num1188z0">
    <w:name w:val="WW8Num1188z0"/>
    <w:qFormat/>
    <w:rPr>
      <w:rFonts w:ascii="Symbol" w:hAnsi="Symbol" w:cs="Symbol"/>
    </w:rPr>
  </w:style>
  <w:style w:type="character" w:styleId="WW8Num1188z1">
    <w:name w:val="WW8Num1188z1"/>
    <w:qFormat/>
    <w:rPr>
      <w:rFonts w:ascii="Courier New" w:hAnsi="Courier New" w:cs="Courier New"/>
    </w:rPr>
  </w:style>
  <w:style w:type="character" w:styleId="WW8Num1188z2">
    <w:name w:val="WW8Num1188z2"/>
    <w:qFormat/>
    <w:rPr>
      <w:rFonts w:ascii="Wingdings" w:hAnsi="Wingdings" w:cs="Wingdings"/>
    </w:rPr>
  </w:style>
  <w:style w:type="character" w:styleId="WW8Num1189z0">
    <w:name w:val="WW8Num1189z0"/>
    <w:qFormat/>
    <w:rPr>
      <w:rFonts w:ascii="Symbol" w:hAnsi="Symbol" w:cs="Symbol"/>
    </w:rPr>
  </w:style>
  <w:style w:type="character" w:styleId="WW8Num1190z0">
    <w:name w:val="WW8Num1190z0"/>
    <w:qFormat/>
    <w:rPr/>
  </w:style>
  <w:style w:type="character" w:styleId="WW8Num1191z0">
    <w:name w:val="WW8Num1191z0"/>
    <w:qFormat/>
    <w:rPr>
      <w:rFonts w:ascii="Symbol" w:hAnsi="Symbol" w:cs="Symbol"/>
    </w:rPr>
  </w:style>
  <w:style w:type="character" w:styleId="WW8Num1192z0">
    <w:name w:val="WW8Num1192z0"/>
    <w:qFormat/>
    <w:rPr/>
  </w:style>
  <w:style w:type="character" w:styleId="WW8Num1193z0">
    <w:name w:val="WW8Num1193z0"/>
    <w:qFormat/>
    <w:rPr>
      <w:rFonts w:ascii="Symbol" w:hAnsi="Symbol" w:cs="Symbol"/>
    </w:rPr>
  </w:style>
  <w:style w:type="character" w:styleId="WW8Num1194z0">
    <w:name w:val="WW8Num1194z0"/>
    <w:qFormat/>
    <w:rPr>
      <w:rFonts w:ascii="Symbol" w:hAnsi="Symbol" w:cs="Symbol"/>
      <w:color w:val="auto"/>
    </w:rPr>
  </w:style>
  <w:style w:type="character" w:styleId="WW8Num1195z0">
    <w:name w:val="WW8Num1195z0"/>
    <w:qFormat/>
    <w:rPr>
      <w:rFonts w:ascii="Times New Roman" w:hAnsi="Times New Roman" w:cs="Times New Roman"/>
      <w:b w:val="false"/>
      <w:i w:val="false"/>
      <w:sz w:val="24"/>
      <w:szCs w:val="24"/>
      <w:u w:val="none"/>
    </w:rPr>
  </w:style>
  <w:style w:type="character" w:styleId="WW8Num1198z0">
    <w:name w:val="WW8Num1198z0"/>
    <w:qFormat/>
    <w:rPr/>
  </w:style>
  <w:style w:type="character" w:styleId="WW8Num1199z0">
    <w:name w:val="WW8Num1199z0"/>
    <w:qFormat/>
    <w:rPr>
      <w:rFonts w:ascii="Symbol" w:hAnsi="Symbol" w:cs="Symbol"/>
    </w:rPr>
  </w:style>
  <w:style w:type="character" w:styleId="WW8Num1200z0">
    <w:name w:val="WW8Num1200z0"/>
    <w:qFormat/>
    <w:rPr>
      <w:rFonts w:ascii="Symbol" w:hAnsi="Symbol" w:cs="Symbol"/>
    </w:rPr>
  </w:style>
  <w:style w:type="character" w:styleId="WW8Num1201z0">
    <w:name w:val="WW8Num1201z0"/>
    <w:qFormat/>
    <w:rPr/>
  </w:style>
  <w:style w:type="character" w:styleId="WW8Num1203z0">
    <w:name w:val="WW8Num1203z0"/>
    <w:qFormat/>
    <w:rPr/>
  </w:style>
  <w:style w:type="character" w:styleId="WW8Num1204z0">
    <w:name w:val="WW8Num1204z0"/>
    <w:qFormat/>
    <w:rPr>
      <w:rFonts w:ascii="Wingdings" w:hAnsi="Wingdings" w:cs="Wingdings"/>
    </w:rPr>
  </w:style>
  <w:style w:type="character" w:styleId="WW8Num1206z0">
    <w:name w:val="WW8Num1206z0"/>
    <w:qFormat/>
    <w:rPr>
      <w:rFonts w:ascii="Symbol" w:hAnsi="Symbol" w:cs="Symbol"/>
    </w:rPr>
  </w:style>
  <w:style w:type="character" w:styleId="WW8Num1209z0">
    <w:name w:val="WW8Num1209z0"/>
    <w:qFormat/>
    <w:rPr/>
  </w:style>
  <w:style w:type="character" w:styleId="WW8Num1210z0">
    <w:name w:val="WW8Num1210z0"/>
    <w:qFormat/>
    <w:rPr/>
  </w:style>
  <w:style w:type="character" w:styleId="WW8Num1211z0">
    <w:name w:val="WW8Num1211z0"/>
    <w:qFormat/>
    <w:rPr/>
  </w:style>
  <w:style w:type="character" w:styleId="WW8Num1212z0">
    <w:name w:val="WW8Num1212z0"/>
    <w:qFormat/>
    <w:rPr>
      <w:rFonts w:ascii="Courier New" w:hAnsi="Courier New" w:cs="Courier New"/>
      <w:i/>
    </w:rPr>
  </w:style>
  <w:style w:type="character" w:styleId="WW8Num1213z0">
    <w:name w:val="WW8Num1213z0"/>
    <w:qFormat/>
    <w:rPr/>
  </w:style>
  <w:style w:type="character" w:styleId="WW8Num1214z0">
    <w:name w:val="WW8Num1214z0"/>
    <w:qFormat/>
    <w:rPr>
      <w:rFonts w:ascii="Symbol" w:hAnsi="Symbol" w:cs="Symbol"/>
    </w:rPr>
  </w:style>
  <w:style w:type="character" w:styleId="WW8Num1215z0">
    <w:name w:val="WW8Num1215z0"/>
    <w:qFormat/>
    <w:rPr>
      <w:rFonts w:ascii="Symbol" w:hAnsi="Symbol" w:cs="Symbol"/>
      <w:color w:val="auto"/>
    </w:rPr>
  </w:style>
  <w:style w:type="character" w:styleId="WW8Num1216z0">
    <w:name w:val="WW8Num1216z0"/>
    <w:qFormat/>
    <w:rPr>
      <w:b/>
      <w:i w:val="false"/>
      <w:sz w:val="20"/>
    </w:rPr>
  </w:style>
  <w:style w:type="character" w:styleId="WW8Num1217z0">
    <w:name w:val="WW8Num1217z0"/>
    <w:qFormat/>
    <w:rPr>
      <w:rFonts w:ascii="Wingdings" w:hAnsi="Wingdings" w:cs="Wingdings"/>
    </w:rPr>
  </w:style>
  <w:style w:type="character" w:styleId="WW8Num1217z1">
    <w:name w:val="WW8Num1217z1"/>
    <w:qFormat/>
    <w:rPr>
      <w:rFonts w:ascii="Courier New" w:hAnsi="Courier New" w:cs="Courier New"/>
    </w:rPr>
  </w:style>
  <w:style w:type="character" w:styleId="WW8Num1217z3">
    <w:name w:val="WW8Num1217z3"/>
    <w:qFormat/>
    <w:rPr>
      <w:rFonts w:ascii="Symbol" w:hAnsi="Symbol" w:cs="Symbol"/>
    </w:rPr>
  </w:style>
  <w:style w:type="character" w:styleId="WW8Num1218z0">
    <w:name w:val="WW8Num1218z0"/>
    <w:qFormat/>
    <w:rPr>
      <w:rFonts w:ascii="Symbol" w:hAnsi="Symbol" w:cs="Symbol"/>
    </w:rPr>
  </w:style>
  <w:style w:type="character" w:styleId="WW8Num1219z0">
    <w:name w:val="WW8Num1219z0"/>
    <w:qFormat/>
    <w:rPr/>
  </w:style>
  <w:style w:type="character" w:styleId="WW8Num1220z0">
    <w:name w:val="WW8Num1220z0"/>
    <w:qFormat/>
    <w:rPr>
      <w:rFonts w:ascii="Symbol" w:hAnsi="Symbol" w:cs="Symbol"/>
    </w:rPr>
  </w:style>
  <w:style w:type="character" w:styleId="WW8Num1222z0">
    <w:name w:val="WW8Num1222z0"/>
    <w:qFormat/>
    <w:rPr/>
  </w:style>
  <w:style w:type="character" w:styleId="WW8Num1223z0">
    <w:name w:val="WW8Num1223z0"/>
    <w:qFormat/>
    <w:rPr>
      <w:rFonts w:ascii="Symbol" w:hAnsi="Symbol" w:cs="Symbol"/>
    </w:rPr>
  </w:style>
  <w:style w:type="character" w:styleId="WW8Num1225z0">
    <w:name w:val="WW8Num1225z0"/>
    <w:qFormat/>
    <w:rPr>
      <w:b w:val="false"/>
      <w:i w:val="false"/>
      <w:sz w:val="22"/>
      <w:szCs w:val="22"/>
    </w:rPr>
  </w:style>
  <w:style w:type="character" w:styleId="WW8Num1227z0">
    <w:name w:val="WW8Num1227z0"/>
    <w:qFormat/>
    <w:rPr/>
  </w:style>
  <w:style w:type="character" w:styleId="WW8Num1229z0">
    <w:name w:val="WW8Num1229z0"/>
    <w:qFormat/>
    <w:rPr>
      <w:rFonts w:ascii="Symbol" w:hAnsi="Symbol" w:cs="Symbol"/>
      <w:color w:val="auto"/>
    </w:rPr>
  </w:style>
  <w:style w:type="character" w:styleId="WW8Num1230z0">
    <w:name w:val="WW8Num1230z0"/>
    <w:qFormat/>
    <w:rPr/>
  </w:style>
  <w:style w:type="character" w:styleId="WW8Num1231z0">
    <w:name w:val="WW8Num1231z0"/>
    <w:qFormat/>
    <w:rPr>
      <w:rFonts w:ascii="Times New Roman" w:hAnsi="Times New Roman" w:cs="Times New Roman"/>
      <w:b/>
      <w:i w:val="false"/>
      <w:sz w:val="22"/>
    </w:rPr>
  </w:style>
  <w:style w:type="character" w:styleId="WW8Num1233z0">
    <w:name w:val="WW8Num1233z0"/>
    <w:qFormat/>
    <w:rPr>
      <w:rFonts w:ascii="Symbol" w:hAnsi="Symbol" w:cs="Symbol"/>
    </w:rPr>
  </w:style>
  <w:style w:type="character" w:styleId="WW8Num1234z0">
    <w:name w:val="WW8Num1234z0"/>
    <w:qFormat/>
    <w:rPr>
      <w:u w:val="single"/>
    </w:rPr>
  </w:style>
  <w:style w:type="character" w:styleId="WW8Num1235z0">
    <w:name w:val="WW8Num1235z0"/>
    <w:qFormat/>
    <w:rPr>
      <w:rFonts w:ascii="Symbol" w:hAnsi="Symbol" w:cs="Symbol"/>
    </w:rPr>
  </w:style>
  <w:style w:type="character" w:styleId="WW8Num1236z0">
    <w:name w:val="WW8Num1236z0"/>
    <w:qFormat/>
    <w:rPr>
      <w:rFonts w:ascii="Symbol" w:hAnsi="Symbol" w:cs="Symbol"/>
    </w:rPr>
  </w:style>
  <w:style w:type="character" w:styleId="WW8Num1236z2">
    <w:name w:val="WW8Num1236z2"/>
    <w:qFormat/>
    <w:rPr>
      <w:rFonts w:ascii="Wingdings" w:hAnsi="Wingdings" w:cs="Wingdings"/>
    </w:rPr>
  </w:style>
  <w:style w:type="character" w:styleId="WW8Num1236z4">
    <w:name w:val="WW8Num1236z4"/>
    <w:qFormat/>
    <w:rPr>
      <w:rFonts w:ascii="Courier New" w:hAnsi="Courier New" w:cs="Courier New"/>
    </w:rPr>
  </w:style>
  <w:style w:type="character" w:styleId="WW8Num1237z0">
    <w:name w:val="WW8Num1237z0"/>
    <w:qFormat/>
    <w:rPr/>
  </w:style>
  <w:style w:type="character" w:styleId="WW8Num1238z0">
    <w:name w:val="WW8Num1238z0"/>
    <w:qFormat/>
    <w:rPr>
      <w:rFonts w:ascii="Symbol" w:hAnsi="Symbol" w:cs="Symbol"/>
    </w:rPr>
  </w:style>
  <w:style w:type="character" w:styleId="WW8Num1239z0">
    <w:name w:val="WW8Num1239z0"/>
    <w:qFormat/>
    <w:rPr>
      <w:rFonts w:ascii="Symbol" w:hAnsi="Symbol" w:cs="Symbol"/>
    </w:rPr>
  </w:style>
  <w:style w:type="character" w:styleId="WW8Num1241z0">
    <w:name w:val="WW8Num1241z0"/>
    <w:qFormat/>
    <w:rPr/>
  </w:style>
  <w:style w:type="character" w:styleId="WW8Num1243z0">
    <w:name w:val="WW8Num1243z0"/>
    <w:qFormat/>
    <w:rPr>
      <w:rFonts w:ascii="Symbol" w:hAnsi="Symbol" w:cs="Symbol"/>
    </w:rPr>
  </w:style>
  <w:style w:type="character" w:styleId="WW8Num1244z0">
    <w:name w:val="WW8Num1244z0"/>
    <w:qFormat/>
    <w:rPr>
      <w:rFonts w:ascii="Symbol" w:hAnsi="Symbol" w:cs="Symbol"/>
    </w:rPr>
  </w:style>
  <w:style w:type="character" w:styleId="WW8Num1245z0">
    <w:name w:val="WW8Num1245z0"/>
    <w:qFormat/>
    <w:rPr/>
  </w:style>
  <w:style w:type="character" w:styleId="WW8Num1246z0">
    <w:name w:val="WW8Num1246z0"/>
    <w:qFormat/>
    <w:rPr>
      <w:rFonts w:ascii="Times New Roman" w:hAnsi="Times New Roman" w:cs="Times New Roman"/>
      <w:b/>
      <w:i w:val="false"/>
      <w:sz w:val="24"/>
      <w:szCs w:val="24"/>
      <w:u w:val="none"/>
    </w:rPr>
  </w:style>
  <w:style w:type="character" w:styleId="WW8Num1246z1">
    <w:name w:val="WW8Num1246z1"/>
    <w:qFormat/>
    <w:rPr>
      <w:rFonts w:ascii="Times New Roman" w:hAnsi="Times New Roman" w:cs="Times New Roman"/>
      <w:b/>
      <w:i w:val="false"/>
      <w:sz w:val="24"/>
      <w:szCs w:val="24"/>
    </w:rPr>
  </w:style>
  <w:style w:type="character" w:styleId="WW8Num1246z4">
    <w:name w:val="WW8Num1246z4"/>
    <w:qFormat/>
    <w:rPr>
      <w:rFonts w:ascii="Times New Roman" w:hAnsi="Times New Roman" w:cs="Times New Roman"/>
      <w:b w:val="false"/>
      <w:i w:val="false"/>
      <w:sz w:val="24"/>
      <w:szCs w:val="24"/>
    </w:rPr>
  </w:style>
  <w:style w:type="character" w:styleId="WW8Num1247z0">
    <w:name w:val="WW8Num1247z0"/>
    <w:qFormat/>
    <w:rPr>
      <w:rFonts w:ascii="Symbol" w:hAnsi="Symbol" w:cs="Symbol"/>
    </w:rPr>
  </w:style>
  <w:style w:type="character" w:styleId="WW8Num1248z0">
    <w:name w:val="WW8Num1248z0"/>
    <w:qFormat/>
    <w:rPr>
      <w:rFonts w:ascii="Symbol" w:hAnsi="Symbol" w:cs="Symbol"/>
    </w:rPr>
  </w:style>
  <w:style w:type="character" w:styleId="WW8Num1249z0">
    <w:name w:val="WW8Num1249z0"/>
    <w:qFormat/>
    <w:rPr>
      <w:rFonts w:ascii="Symbol" w:hAnsi="Symbol" w:cs="Symbol"/>
    </w:rPr>
  </w:style>
  <w:style w:type="character" w:styleId="WW8Num1251z0">
    <w:name w:val="WW8Num1251z0"/>
    <w:qFormat/>
    <w:rPr>
      <w:rFonts w:ascii="Symbol" w:hAnsi="Symbol" w:cs="Symbol"/>
    </w:rPr>
  </w:style>
  <w:style w:type="character" w:styleId="WW8Num1252z0">
    <w:name w:val="WW8Num1252z0"/>
    <w:qFormat/>
    <w:rPr/>
  </w:style>
  <w:style w:type="character" w:styleId="WW8Num1253z0">
    <w:name w:val="WW8Num1253z0"/>
    <w:qFormat/>
    <w:rPr>
      <w:rFonts w:ascii="Symbol" w:hAnsi="Symbol" w:cs="Symbol"/>
    </w:rPr>
  </w:style>
  <w:style w:type="character" w:styleId="WW8Num1255z0">
    <w:name w:val="WW8Num1255z0"/>
    <w:qFormat/>
    <w:rPr>
      <w:rFonts w:ascii="Symbol" w:hAnsi="Symbol" w:cs="Symbol"/>
    </w:rPr>
  </w:style>
  <w:style w:type="character" w:styleId="WW8Num1256z0">
    <w:name w:val="WW8Num1256z0"/>
    <w:qFormat/>
    <w:rPr>
      <w:rFonts w:ascii="Symbol" w:hAnsi="Symbol" w:cs="Symbol"/>
    </w:rPr>
  </w:style>
  <w:style w:type="character" w:styleId="WW8Num1257z0">
    <w:name w:val="WW8Num1257z0"/>
    <w:qFormat/>
    <w:rPr/>
  </w:style>
  <w:style w:type="character" w:styleId="WW8Num1258z0">
    <w:name w:val="WW8Num1258z0"/>
    <w:qFormat/>
    <w:rPr>
      <w:rFonts w:ascii="Symbol" w:hAnsi="Symbol" w:cs="Symbol"/>
      <w:color w:val="auto"/>
    </w:rPr>
  </w:style>
  <w:style w:type="character" w:styleId="WW8Num1259z0">
    <w:name w:val="WW8Num1259z0"/>
    <w:qFormat/>
    <w:rPr>
      <w:rFonts w:ascii="Symbol" w:hAnsi="Symbol" w:cs="Symbol"/>
    </w:rPr>
  </w:style>
  <w:style w:type="character" w:styleId="WW8Num1260z0">
    <w:name w:val="WW8Num1260z0"/>
    <w:qFormat/>
    <w:rPr/>
  </w:style>
  <w:style w:type="character" w:styleId="WW8Num1262z0">
    <w:name w:val="WW8Num1262z0"/>
    <w:qFormat/>
    <w:rPr>
      <w:rFonts w:ascii="Symbol" w:hAnsi="Symbol" w:cs="Symbol"/>
    </w:rPr>
  </w:style>
  <w:style w:type="character" w:styleId="WW8Num1263z0">
    <w:name w:val="WW8Num1263z0"/>
    <w:qFormat/>
    <w:rPr>
      <w:rFonts w:ascii="Symbol" w:hAnsi="Symbol" w:cs="Symbol"/>
    </w:rPr>
  </w:style>
  <w:style w:type="character" w:styleId="WW8Num1264z0">
    <w:name w:val="WW8Num1264z0"/>
    <w:qFormat/>
    <w:rPr/>
  </w:style>
  <w:style w:type="character" w:styleId="WW8Num1265z0">
    <w:name w:val="WW8Num1265z0"/>
    <w:qFormat/>
    <w:rPr>
      <w:rFonts w:ascii="Symbol" w:hAnsi="Symbol" w:cs="Symbol"/>
    </w:rPr>
  </w:style>
  <w:style w:type="character" w:styleId="WW8Num1266z0">
    <w:name w:val="WW8Num1266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rFonts w:ascii="Symbol" w:hAnsi="Symbol" w:cs="Symbol"/>
    </w:rPr>
  </w:style>
  <w:style w:type="character" w:styleId="WW8Num1270z0">
    <w:name w:val="WW8Num1270z0"/>
    <w:qFormat/>
    <w:rPr>
      <w:rFonts w:ascii="Symbol" w:hAnsi="Symbol" w:cs="Symbol"/>
    </w:rPr>
  </w:style>
  <w:style w:type="character" w:styleId="WW8Num1271z0">
    <w:name w:val="WW8Num1271z0"/>
    <w:qFormat/>
    <w:rPr/>
  </w:style>
  <w:style w:type="character" w:styleId="WW8Num1272z0">
    <w:name w:val="WW8Num1272z0"/>
    <w:qFormat/>
    <w:rPr>
      <w:rFonts w:ascii="Wingdings" w:hAnsi="Wingdings" w:cs="Wingdings"/>
      <w:sz w:val="16"/>
    </w:rPr>
  </w:style>
  <w:style w:type="character" w:styleId="WW8Num1274z0">
    <w:name w:val="WW8Num1274z0"/>
    <w:qFormat/>
    <w:rPr>
      <w:rFonts w:ascii="Symbol" w:hAnsi="Symbol" w:cs="Symbol"/>
    </w:rPr>
  </w:style>
  <w:style w:type="character" w:styleId="WW8Num1275z0">
    <w:name w:val="WW8Num1275z0"/>
    <w:qFormat/>
    <w:rPr/>
  </w:style>
  <w:style w:type="character" w:styleId="WW8Num1276z0">
    <w:name w:val="WW8Num1276z0"/>
    <w:qFormat/>
    <w:rPr>
      <w:rFonts w:ascii="Symbol" w:hAnsi="Symbol" w:cs="Symbol"/>
      <w:color w:val="000000"/>
      <w:sz w:val="18"/>
      <w:szCs w:val="18"/>
    </w:rPr>
  </w:style>
  <w:style w:type="character" w:styleId="WW8Num1278z0">
    <w:name w:val="WW8Num1278z0"/>
    <w:qFormat/>
    <w:rPr/>
  </w:style>
  <w:style w:type="character" w:styleId="WW8Num1279z0">
    <w:name w:val="WW8Num1279z0"/>
    <w:qFormat/>
    <w:rPr>
      <w:rFonts w:ascii="Symbol" w:hAnsi="Symbol" w:cs="Symbol"/>
    </w:rPr>
  </w:style>
  <w:style w:type="character" w:styleId="WW8Num1280z0">
    <w:name w:val="WW8Num1280z0"/>
    <w:qFormat/>
    <w:rPr>
      <w:rFonts w:ascii="Symbol" w:hAnsi="Symbol" w:cs="Symbol"/>
    </w:rPr>
  </w:style>
  <w:style w:type="character" w:styleId="WW8Num1281z0">
    <w:name w:val="WW8Num1281z0"/>
    <w:qFormat/>
    <w:rPr>
      <w:rFonts w:ascii="Symbol" w:hAnsi="Symbol" w:cs="Symbol"/>
    </w:rPr>
  </w:style>
  <w:style w:type="character" w:styleId="WW8Num1282z0">
    <w:name w:val="WW8Num1282z0"/>
    <w:qFormat/>
    <w:rPr>
      <w:rFonts w:ascii="Symbol" w:hAnsi="Symbol" w:cs="Symbol"/>
      <w:sz w:val="22"/>
    </w:rPr>
  </w:style>
  <w:style w:type="character" w:styleId="WW8Num1283z0">
    <w:name w:val="WW8Num1283z0"/>
    <w:qFormat/>
    <w:rPr>
      <w:rFonts w:ascii="Symbol" w:hAnsi="Symbol" w:cs="Symbol"/>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style>
  <w:style w:type="character" w:styleId="WW8Num1288z0">
    <w:name w:val="WW8Num1288z0"/>
    <w:qFormat/>
    <w:rPr>
      <w:rFonts w:ascii="Symbol" w:hAnsi="Symbol" w:cs="Symbol"/>
    </w:rPr>
  </w:style>
  <w:style w:type="character" w:styleId="WW8Num1289z0">
    <w:name w:val="WW8Num1289z0"/>
    <w:qFormat/>
    <w:rPr>
      <w:rFonts w:ascii="Symbol" w:hAnsi="Symbol" w:cs="Symbol"/>
    </w:rPr>
  </w:style>
  <w:style w:type="character" w:styleId="WW8Num1290z0">
    <w:name w:val="WW8Num1290z0"/>
    <w:qFormat/>
    <w:rPr>
      <w:rFonts w:ascii="Symbol" w:hAnsi="Symbol" w:cs="Symbol"/>
    </w:rPr>
  </w:style>
  <w:style w:type="character" w:styleId="WW8Num1291z0">
    <w:name w:val="WW8Num1291z0"/>
    <w:qFormat/>
    <w:rPr>
      <w:rFonts w:ascii="Symbol" w:hAnsi="Symbol" w:cs="Symbol"/>
    </w:rPr>
  </w:style>
  <w:style w:type="character" w:styleId="WW8Num1292z0">
    <w:name w:val="WW8Num1292z0"/>
    <w:qFormat/>
    <w:rPr>
      <w:rFonts w:ascii="Symbol" w:hAnsi="Symbol" w:cs="Symbol"/>
      <w:color w:val="auto"/>
      <w:sz w:val="20"/>
    </w:rPr>
  </w:style>
  <w:style w:type="character" w:styleId="WW8Num1293z0">
    <w:name w:val="WW8Num1293z0"/>
    <w:qFormat/>
    <w:rPr/>
  </w:style>
  <w:style w:type="character" w:styleId="WW8Num1295z0">
    <w:name w:val="WW8Num1295z0"/>
    <w:qFormat/>
    <w:rPr>
      <w:rFonts w:ascii="Times New Roman" w:hAnsi="Times New Roman" w:cs="Times New Roman"/>
      <w:b/>
      <w:i w:val="false"/>
      <w:sz w:val="22"/>
    </w:rPr>
  </w:style>
  <w:style w:type="character" w:styleId="WW8Num1295z2">
    <w:name w:val="WW8Num1295z2"/>
    <w:qFormat/>
    <w:rPr>
      <w:rFonts w:ascii="Symbol" w:hAnsi="Symbol" w:cs="Symbol"/>
      <w:b/>
      <w:i w:val="false"/>
      <w:color w:val="auto"/>
      <w:sz w:val="22"/>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8z0">
    <w:name w:val="WW8Num1298z0"/>
    <w:qFormat/>
    <w:rPr>
      <w:b w:val="false"/>
      <w:i w:val="false"/>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rFonts w:ascii="Univers" w:hAnsi="Univers" w:cs="Univers"/>
      <w:b/>
      <w:i w:val="false"/>
    </w:rPr>
  </w:style>
  <w:style w:type="character" w:styleId="WW8Num1303z1">
    <w:name w:val="WW8Num1303z1"/>
    <w:qFormat/>
    <w:rPr>
      <w:rFonts w:ascii="Univers" w:hAnsi="Univers" w:cs="Univers"/>
      <w:b/>
      <w:i w:val="false"/>
      <w:sz w:val="24"/>
      <w:szCs w:val="24"/>
    </w:rPr>
  </w:style>
  <w:style w:type="character" w:styleId="WW8Num1305z0">
    <w:name w:val="WW8Num1305z0"/>
    <w:qFormat/>
    <w:rPr/>
  </w:style>
  <w:style w:type="character" w:styleId="WW8Num1306z0">
    <w:name w:val="WW8Num1306z0"/>
    <w:qFormat/>
    <w:rPr>
      <w:rFonts w:ascii="Symbol" w:hAnsi="Symbol" w:cs="Symbol"/>
      <w:color w:val="auto"/>
    </w:rPr>
  </w:style>
  <w:style w:type="character" w:styleId="WW8Num1307z0">
    <w:name w:val="WW8Num1307z0"/>
    <w:qFormat/>
    <w:rPr>
      <w:rFonts w:ascii="Symbol" w:hAnsi="Symbol" w:cs="Symbol"/>
      <w:color w:val="auto"/>
    </w:rPr>
  </w:style>
  <w:style w:type="character" w:styleId="WW8Num1308z0">
    <w:name w:val="WW8Num1308z0"/>
    <w:qFormat/>
    <w:rPr>
      <w:rFonts w:ascii="Symbol" w:hAnsi="Symbol" w:cs="Symbol"/>
    </w:rPr>
  </w:style>
  <w:style w:type="character" w:styleId="WW8Num1309z0">
    <w:name w:val="WW8Num1309z0"/>
    <w:qFormat/>
    <w:rPr>
      <w:rFonts w:ascii="Marlett" w:hAnsi="Marlett" w:cs="Marlett"/>
      <w:b/>
      <w:i w:val="false"/>
    </w:rPr>
  </w:style>
  <w:style w:type="character" w:styleId="WW8Num1311z0">
    <w:name w:val="WW8Num1311z0"/>
    <w:qFormat/>
    <w:rPr>
      <w:rFonts w:ascii="Symbol" w:hAnsi="Symbol" w:cs="Symbol"/>
    </w:rPr>
  </w:style>
  <w:style w:type="character" w:styleId="WW8Num1312z0">
    <w:name w:val="WW8Num1312z0"/>
    <w:qFormat/>
    <w:rPr>
      <w:rFonts w:ascii="Symbol" w:hAnsi="Symbol" w:cs="Symbol"/>
      <w:color w:val="000000"/>
      <w:sz w:val="18"/>
      <w:szCs w:val="18"/>
    </w:rPr>
  </w:style>
  <w:style w:type="character" w:styleId="WW8Num1313z0">
    <w:name w:val="WW8Num1313z0"/>
    <w:qFormat/>
    <w:rPr>
      <w:rFonts w:ascii="Symbol" w:hAnsi="Symbol" w:cs="Symbol"/>
    </w:rPr>
  </w:style>
  <w:style w:type="character" w:styleId="WW8Num1315z0">
    <w:name w:val="WW8Num1315z0"/>
    <w:qFormat/>
    <w:rPr>
      <w:b w:val="false"/>
      <w:i w:val="false"/>
      <w:u w:val="none"/>
    </w:rPr>
  </w:style>
  <w:style w:type="character" w:styleId="WW8Num1317z0">
    <w:name w:val="WW8Num1317z0"/>
    <w:qFormat/>
    <w:rPr/>
  </w:style>
  <w:style w:type="character" w:styleId="WW8Num1318z0">
    <w:name w:val="WW8Num1318z0"/>
    <w:qFormat/>
    <w:rPr>
      <w:rFonts w:ascii="Symbol" w:hAnsi="Symbol" w:cs="Symbol"/>
    </w:rPr>
  </w:style>
  <w:style w:type="character" w:styleId="WW8Num1318z1">
    <w:name w:val="WW8Num1318z1"/>
    <w:qFormat/>
    <w:rPr>
      <w:rFonts w:ascii="Courier New" w:hAnsi="Courier New" w:cs="Courier New"/>
    </w:rPr>
  </w:style>
  <w:style w:type="character" w:styleId="WW8Num1318z2">
    <w:name w:val="WW8Num1318z2"/>
    <w:qFormat/>
    <w:rPr>
      <w:rFonts w:ascii="Wingdings" w:hAnsi="Wingdings" w:cs="Wingdings"/>
    </w:rPr>
  </w:style>
  <w:style w:type="character" w:styleId="WW8Num1319z0">
    <w:name w:val="WW8Num1319z0"/>
    <w:qFormat/>
    <w:rPr>
      <w:rFonts w:ascii="Symbol" w:hAnsi="Symbol" w:cs="Symbol"/>
    </w:rPr>
  </w:style>
  <w:style w:type="character" w:styleId="WW8Num1320z0">
    <w:name w:val="WW8Num1320z0"/>
    <w:qFormat/>
    <w:rPr>
      <w:rFonts w:ascii="Symbol" w:hAnsi="Symbol" w:cs="Symbol"/>
    </w:rPr>
  </w:style>
  <w:style w:type="character" w:styleId="WW8Num1321z0">
    <w:name w:val="WW8Num1321z0"/>
    <w:qFormat/>
    <w:rPr>
      <w:rFonts w:ascii="Symbol" w:hAnsi="Symbol" w:cs="Symbol"/>
    </w:rPr>
  </w:style>
  <w:style w:type="character" w:styleId="WW8Num1323z0">
    <w:name w:val="WW8Num1323z0"/>
    <w:qFormat/>
    <w:rPr/>
  </w:style>
  <w:style w:type="character" w:styleId="WW8Num1324z0">
    <w:name w:val="WW8Num1324z0"/>
    <w:qFormat/>
    <w:rPr>
      <w:rFonts w:ascii="Symbol" w:hAnsi="Symbol" w:cs="Symbol"/>
      <w:color w:val="000000"/>
      <w:sz w:val="18"/>
      <w:szCs w:val="18"/>
    </w:rPr>
  </w:style>
  <w:style w:type="character" w:styleId="WW8Num1325z0">
    <w:name w:val="WW8Num1325z0"/>
    <w:qFormat/>
    <w:rPr/>
  </w:style>
  <w:style w:type="character" w:styleId="WW8Num1326z0">
    <w:name w:val="WW8Num1326z0"/>
    <w:qFormat/>
    <w:rPr/>
  </w:style>
  <w:style w:type="character" w:styleId="WW8Num1327z0">
    <w:name w:val="WW8Num1327z0"/>
    <w:qFormat/>
    <w:rPr>
      <w:rFonts w:ascii="Symbol" w:hAnsi="Symbol" w:cs="Symbol"/>
    </w:rPr>
  </w:style>
  <w:style w:type="character" w:styleId="WW8Num1327z1">
    <w:name w:val="WW8Num1327z1"/>
    <w:qFormat/>
    <w:rPr>
      <w:rFonts w:ascii="Courier New" w:hAnsi="Courier New" w:cs="Courier New"/>
    </w:rPr>
  </w:style>
  <w:style w:type="character" w:styleId="WW8Num1327z2">
    <w:name w:val="WW8Num1327z2"/>
    <w:qFormat/>
    <w:rPr>
      <w:rFonts w:ascii="Wingdings" w:hAnsi="Wingdings" w:cs="Wingdings"/>
    </w:rPr>
  </w:style>
  <w:style w:type="character" w:styleId="WW8Num1328z0">
    <w:name w:val="WW8Num1328z0"/>
    <w:qFormat/>
    <w:rPr>
      <w:rFonts w:ascii="Times New Roman" w:hAnsi="Times New Roman" w:cs="Times New Roman"/>
      <w:b/>
      <w:i w:val="false"/>
      <w:sz w:val="24"/>
      <w:szCs w:val="24"/>
      <w:u w:val="none"/>
    </w:rPr>
  </w:style>
  <w:style w:type="character" w:styleId="WW8Num1328z1">
    <w:name w:val="WW8Num1328z1"/>
    <w:qFormat/>
    <w:rPr>
      <w:rFonts w:ascii="Times New Roman" w:hAnsi="Times New Roman" w:cs="Times New Roman"/>
      <w:b/>
      <w:i w:val="false"/>
      <w:sz w:val="24"/>
      <w:szCs w:val="24"/>
    </w:rPr>
  </w:style>
  <w:style w:type="character" w:styleId="WW8Num1328z4">
    <w:name w:val="WW8Num1328z4"/>
    <w:qFormat/>
    <w:rPr>
      <w:rFonts w:ascii="Times New Roman" w:hAnsi="Times New Roman" w:cs="Times New Roman"/>
      <w:b w:val="false"/>
      <w:i w:val="false"/>
      <w:sz w:val="24"/>
      <w:szCs w:val="24"/>
    </w:rPr>
  </w:style>
  <w:style w:type="character" w:styleId="WW8Num1329z0">
    <w:name w:val="WW8Num1329z0"/>
    <w:qFormat/>
    <w:rPr>
      <w:rFonts w:ascii="Symbol" w:hAnsi="Symbol" w:cs="Symbol"/>
    </w:rPr>
  </w:style>
  <w:style w:type="character" w:styleId="WW8Num1330z0">
    <w:name w:val="WW8Num1330z0"/>
    <w:qFormat/>
    <w:rPr>
      <w:rFonts w:ascii="Wingdings" w:hAnsi="Wingdings" w:cs="Wingdings"/>
    </w:rPr>
  </w:style>
  <w:style w:type="character" w:styleId="WW8Num1331z0">
    <w:name w:val="WW8Num1331z0"/>
    <w:qFormat/>
    <w:rPr/>
  </w:style>
  <w:style w:type="character" w:styleId="WW8Num1332z0">
    <w:name w:val="WW8Num1332z0"/>
    <w:qFormat/>
    <w:rPr>
      <w:rFonts w:ascii="Symbol" w:hAnsi="Symbol" w:cs="Symbol"/>
    </w:rPr>
  </w:style>
  <w:style w:type="character" w:styleId="WW8Num1333z0">
    <w:name w:val="WW8Num1333z0"/>
    <w:qFormat/>
    <w:rPr>
      <w:rFonts w:ascii="Marlett" w:hAnsi="Marlett" w:cs="Marlett"/>
    </w:rPr>
  </w:style>
  <w:style w:type="character" w:styleId="WW8Num1335z0">
    <w:name w:val="WW8Num1335z0"/>
    <w:qFormat/>
    <w:rPr/>
  </w:style>
  <w:style w:type="character" w:styleId="WW8Num1337z0">
    <w:name w:val="WW8Num1337z0"/>
    <w:qFormat/>
    <w:rPr>
      <w:rFonts w:ascii="Symbol" w:hAnsi="Symbol" w:cs="Symbol"/>
    </w:rPr>
  </w:style>
  <w:style w:type="character" w:styleId="WW8Num1337z1">
    <w:name w:val="WW8Num1337z1"/>
    <w:qFormat/>
    <w:rPr>
      <w:rFonts w:ascii="Courier New" w:hAnsi="Courier New" w:cs="Courier New"/>
    </w:rPr>
  </w:style>
  <w:style w:type="character" w:styleId="WW8Num1337z2">
    <w:name w:val="WW8Num1337z2"/>
    <w:qFormat/>
    <w:rPr>
      <w:rFonts w:ascii="Wingdings" w:hAnsi="Wingdings" w:cs="Wingdings"/>
    </w:rPr>
  </w:style>
  <w:style w:type="character" w:styleId="WW8Num1338z0">
    <w:name w:val="WW8Num1338z0"/>
    <w:qFormat/>
    <w:rPr>
      <w:rFonts w:ascii="Univers" w:hAnsi="Univers" w:cs="Univers"/>
      <w:b/>
      <w:i w:val="false"/>
    </w:rPr>
  </w:style>
  <w:style w:type="character" w:styleId="WW8Num1338z1">
    <w:name w:val="WW8Num1338z1"/>
    <w:qFormat/>
    <w:rPr>
      <w:rFonts w:ascii="Univers" w:hAnsi="Univers" w:cs="Univers"/>
      <w:b/>
      <w:i w:val="false"/>
      <w:sz w:val="24"/>
      <w:szCs w:val="24"/>
    </w:rPr>
  </w:style>
  <w:style w:type="character" w:styleId="WW8Num1339z0">
    <w:name w:val="WW8Num1339z0"/>
    <w:qFormat/>
    <w:rPr/>
  </w:style>
  <w:style w:type="character" w:styleId="WW8Num1341z0">
    <w:name w:val="WW8Num1341z0"/>
    <w:qFormat/>
    <w:rPr>
      <w:rFonts w:ascii="Symbol" w:hAnsi="Symbol" w:cs="Symbol"/>
    </w:rPr>
  </w:style>
  <w:style w:type="character" w:styleId="WW8Num1343z0">
    <w:name w:val="WW8Num1343z0"/>
    <w:qFormat/>
    <w:rPr/>
  </w:style>
  <w:style w:type="character" w:styleId="WW8Num1344z0">
    <w:name w:val="WW8Num1344z0"/>
    <w:qFormat/>
    <w:rPr/>
  </w:style>
  <w:style w:type="character" w:styleId="WW8Num1344z1">
    <w:name w:val="WW8Num1344z1"/>
    <w:qFormat/>
    <w:rPr>
      <w:rFonts w:ascii="Symbol" w:hAnsi="Symbol" w:cs="Symbol"/>
    </w:rPr>
  </w:style>
  <w:style w:type="character" w:styleId="WW8Num1345z0">
    <w:name w:val="WW8Num1345z0"/>
    <w:qFormat/>
    <w:rPr/>
  </w:style>
  <w:style w:type="character" w:styleId="WW8Num1348z0">
    <w:name w:val="WW8Num1348z0"/>
    <w:qFormat/>
    <w:rPr>
      <w:rFonts w:ascii="Symbol" w:hAnsi="Symbol" w:cs="Symbol"/>
    </w:rPr>
  </w:style>
  <w:style w:type="character" w:styleId="WW8Num1349z0">
    <w:name w:val="WW8Num1349z0"/>
    <w:qFormat/>
    <w:rPr>
      <w:rFonts w:ascii="Symbol" w:hAnsi="Symbol" w:cs="Symbol"/>
    </w:rPr>
  </w:style>
  <w:style w:type="character" w:styleId="WW8Num1349z1">
    <w:name w:val="WW8Num1349z1"/>
    <w:qFormat/>
    <w:rPr>
      <w:rFonts w:ascii="Courier New" w:hAnsi="Courier New" w:cs="Courier New"/>
    </w:rPr>
  </w:style>
  <w:style w:type="character" w:styleId="WW8Num1349z2">
    <w:name w:val="WW8Num1349z2"/>
    <w:qFormat/>
    <w:rPr>
      <w:rFonts w:ascii="Wingdings" w:hAnsi="Wingdings" w:cs="Wingdings"/>
    </w:rPr>
  </w:style>
  <w:style w:type="character" w:styleId="WW8Num1350z0">
    <w:name w:val="WW8Num1350z0"/>
    <w:qFormat/>
    <w:rPr>
      <w:rFonts w:ascii="Symbol" w:hAnsi="Symbol" w:cs="Symbol"/>
    </w:rPr>
  </w:style>
  <w:style w:type="character" w:styleId="WW8Num1351z0">
    <w:name w:val="WW8Num1351z0"/>
    <w:qFormat/>
    <w:rPr>
      <w:rFonts w:ascii="Wingdings" w:hAnsi="Wingdings" w:cs="Wingdings"/>
    </w:rPr>
  </w:style>
  <w:style w:type="character" w:styleId="WW8Num1352z0">
    <w:name w:val="WW8Num1352z0"/>
    <w:qFormat/>
    <w:rPr>
      <w:rFonts w:ascii="Symbol" w:hAnsi="Symbol" w:cs="Symbol"/>
    </w:rPr>
  </w:style>
  <w:style w:type="character" w:styleId="WW8Num1352z1">
    <w:name w:val="WW8Num1352z1"/>
    <w:qFormat/>
    <w:rPr>
      <w:rFonts w:ascii="Courier New" w:hAnsi="Courier New" w:cs="Courier New"/>
    </w:rPr>
  </w:style>
  <w:style w:type="character" w:styleId="WW8Num1352z2">
    <w:name w:val="WW8Num1352z2"/>
    <w:qFormat/>
    <w:rPr>
      <w:rFonts w:ascii="Wingdings" w:hAnsi="Wingdings" w:cs="Wingdings"/>
    </w:rPr>
  </w:style>
  <w:style w:type="character" w:styleId="WW8Num1353z0">
    <w:name w:val="WW8Num1353z0"/>
    <w:qFormat/>
    <w:rPr>
      <w:rFonts w:ascii="Symbol" w:hAnsi="Symbol" w:cs="Symbol"/>
    </w:rPr>
  </w:style>
  <w:style w:type="character" w:styleId="WW8Num1354z0">
    <w:name w:val="WW8Num1354z0"/>
    <w:qFormat/>
    <w:rPr>
      <w:rFonts w:ascii="Symbol" w:hAnsi="Symbol" w:cs="Symbol"/>
    </w:rPr>
  </w:style>
  <w:style w:type="character" w:styleId="WW8Num1355z0">
    <w:name w:val="WW8Num1355z0"/>
    <w:qFormat/>
    <w:rPr>
      <w:rFonts w:ascii="Symbol" w:hAnsi="Symbol" w:cs="Symbol"/>
      <w:color w:val="000000"/>
      <w:sz w:val="18"/>
      <w:szCs w:val="18"/>
    </w:rPr>
  </w:style>
  <w:style w:type="character" w:styleId="WW8Num1358z0">
    <w:name w:val="WW8Num1358z0"/>
    <w:qFormat/>
    <w:rPr>
      <w:rFonts w:ascii="Symbol" w:hAnsi="Symbol" w:cs="Symbol"/>
      <w:color w:val="000000"/>
      <w:sz w:val="18"/>
      <w:szCs w:val="18"/>
    </w:rPr>
  </w:style>
  <w:style w:type="character" w:styleId="WW8Num1359z0">
    <w:name w:val="WW8Num1359z0"/>
    <w:qFormat/>
    <w:rPr>
      <w:rFonts w:ascii="Symbol" w:hAnsi="Symbol" w:cs="Symbol"/>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1z1">
    <w:name w:val="WW8Num1361z1"/>
    <w:qFormat/>
    <w:rPr>
      <w:rFonts w:ascii="Courier New" w:hAnsi="Courier New" w:cs="Courier New"/>
    </w:rPr>
  </w:style>
  <w:style w:type="character" w:styleId="WW8Num1361z2">
    <w:name w:val="WW8Num1361z2"/>
    <w:qFormat/>
    <w:rPr>
      <w:rFonts w:ascii="Wingdings" w:hAnsi="Wingdings" w:cs="Wingdings"/>
    </w:rPr>
  </w:style>
  <w:style w:type="character" w:styleId="WW8Num1362z0">
    <w:name w:val="WW8Num1362z0"/>
    <w:qFormat/>
    <w:rPr/>
  </w:style>
  <w:style w:type="character" w:styleId="WW8Num1363z0">
    <w:name w:val="WW8Num1363z0"/>
    <w:qFormat/>
    <w:rPr>
      <w:rFonts w:ascii="Symbol" w:hAnsi="Symbol" w:cs="Symbol"/>
    </w:rPr>
  </w:style>
  <w:style w:type="character" w:styleId="WW8Num1364z0">
    <w:name w:val="WW8Num1364z0"/>
    <w:qFormat/>
    <w:rPr>
      <w:rFonts w:ascii="Symbol" w:hAnsi="Symbol" w:cs="Symbol"/>
    </w:rPr>
  </w:style>
  <w:style w:type="character" w:styleId="WW8Num1365z0">
    <w:name w:val="WW8Num1365z0"/>
    <w:qFormat/>
    <w:rPr>
      <w:rFonts w:ascii="Symbol" w:hAnsi="Symbol" w:cs="Symbol"/>
    </w:rPr>
  </w:style>
  <w:style w:type="character" w:styleId="WW8Num1366z0">
    <w:name w:val="WW8Num1366z0"/>
    <w:qFormat/>
    <w:rPr>
      <w:rFonts w:ascii="Symbol" w:hAnsi="Symbol" w:cs="Symbol"/>
    </w:rPr>
  </w:style>
  <w:style w:type="character" w:styleId="WW8Num1367z0">
    <w:name w:val="WW8Num1367z0"/>
    <w:qFormat/>
    <w:rPr>
      <w:rFonts w:ascii="Symbol" w:hAnsi="Symbol" w:cs="Symbol"/>
      <w:color w:val="auto"/>
    </w:rPr>
  </w:style>
  <w:style w:type="character" w:styleId="WW8Num1368z0">
    <w:name w:val="WW8Num1368z0"/>
    <w:qFormat/>
    <w:rPr>
      <w:rFonts w:ascii="Symbol" w:hAnsi="Symbol" w:cs="Symbol"/>
    </w:rPr>
  </w:style>
  <w:style w:type="character" w:styleId="WW8Num1370z0">
    <w:name w:val="WW8Num1370z0"/>
    <w:qFormat/>
    <w:rPr>
      <w:rFonts w:ascii="Symbol" w:hAnsi="Symbol" w:cs="Symbol"/>
    </w:rPr>
  </w:style>
  <w:style w:type="character" w:styleId="WW8Num1371z0">
    <w:name w:val="WW8Num1371z0"/>
    <w:qFormat/>
    <w:rPr>
      <w:rFonts w:ascii="Symbol" w:hAnsi="Symbol" w:cs="Symbol"/>
    </w:rPr>
  </w:style>
  <w:style w:type="character" w:styleId="WW8Num1371z1">
    <w:name w:val="WW8Num1371z1"/>
    <w:qFormat/>
    <w:rPr>
      <w:rFonts w:ascii="Courier New" w:hAnsi="Courier New" w:cs="Courier New"/>
    </w:rPr>
  </w:style>
  <w:style w:type="character" w:styleId="WW8Num1371z2">
    <w:name w:val="WW8Num1371z2"/>
    <w:qFormat/>
    <w:rPr>
      <w:rFonts w:ascii="Wingdings" w:hAnsi="Wingdings" w:cs="Wingdings"/>
    </w:rPr>
  </w:style>
  <w:style w:type="character" w:styleId="WW8Num1373z0">
    <w:name w:val="WW8Num1373z0"/>
    <w:qFormat/>
    <w:rPr>
      <w:rFonts w:ascii="Wingdings" w:hAnsi="Wingdings" w:cs="Wingdings"/>
      <w:sz w:val="16"/>
    </w:rPr>
  </w:style>
  <w:style w:type="character" w:styleId="WW8Num1374z0">
    <w:name w:val="WW8Num1374z0"/>
    <w:qFormat/>
    <w:rPr>
      <w:rFonts w:ascii="Symbol" w:hAnsi="Symbol" w:cs="Symbol"/>
    </w:rPr>
  </w:style>
  <w:style w:type="character" w:styleId="WW8Num1375z0">
    <w:name w:val="WW8Num1375z0"/>
    <w:qFormat/>
    <w:rPr/>
  </w:style>
  <w:style w:type="character" w:styleId="WW8Num1376z0">
    <w:name w:val="WW8Num1376z0"/>
    <w:qFormat/>
    <w:rPr>
      <w:rFonts w:ascii="Symbol" w:hAnsi="Symbol" w:cs="Symbol"/>
    </w:rPr>
  </w:style>
  <w:style w:type="character" w:styleId="WW8Num1376z1">
    <w:name w:val="WW8Num1376z1"/>
    <w:qFormat/>
    <w:rPr>
      <w:rFonts w:ascii="Courier New" w:hAnsi="Courier New" w:cs="Courier New"/>
    </w:rPr>
  </w:style>
  <w:style w:type="character" w:styleId="WW8Num1376z2">
    <w:name w:val="WW8Num1376z2"/>
    <w:qFormat/>
    <w:rPr>
      <w:rFonts w:ascii="Wingdings" w:hAnsi="Wingdings" w:cs="Wingdings"/>
    </w:rPr>
  </w:style>
  <w:style w:type="character" w:styleId="WW8Num1377z0">
    <w:name w:val="WW8Num1377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1378z0">
    <w:name w:val="WW8Num1378z0"/>
    <w:qFormat/>
    <w:rPr>
      <w:rFonts w:ascii="Symbol" w:hAnsi="Symbol" w:cs="Symbol"/>
    </w:rPr>
  </w:style>
  <w:style w:type="character" w:styleId="WW8Num1379z0">
    <w:name w:val="WW8Num1379z0"/>
    <w:qFormat/>
    <w:rPr>
      <w:rFonts w:ascii="Symbol" w:hAnsi="Symbol" w:cs="Symbol"/>
    </w:rPr>
  </w:style>
  <w:style w:type="character" w:styleId="WW8Num1380z0">
    <w:name w:val="WW8Num1380z0"/>
    <w:qFormat/>
    <w:rPr>
      <w:rFonts w:ascii="Symbol" w:hAnsi="Symbol" w:cs="Symbol"/>
      <w:color w:val="auto"/>
    </w:rPr>
  </w:style>
  <w:style w:type="character" w:styleId="WW8Num1381z0">
    <w:name w:val="WW8Num1381z0"/>
    <w:qFormat/>
    <w:rPr/>
  </w:style>
  <w:style w:type="character" w:styleId="WW8Num1383z0">
    <w:name w:val="WW8Num1383z0"/>
    <w:qFormat/>
    <w:rPr/>
  </w:style>
  <w:style w:type="character" w:styleId="WW8Num1384z0">
    <w:name w:val="WW8Num1384z0"/>
    <w:qFormat/>
    <w:rPr>
      <w:rFonts w:ascii="Times New Roman" w:hAnsi="Times New Roman" w:cs="Times New Roman"/>
      <w:b w:val="false"/>
      <w:i w:val="false"/>
      <w:sz w:val="24"/>
      <w:szCs w:val="24"/>
      <w:u w:val="none"/>
    </w:rPr>
  </w:style>
  <w:style w:type="character" w:styleId="WW8Num1386z0">
    <w:name w:val="WW8Num1386z0"/>
    <w:qFormat/>
    <w:rPr/>
  </w:style>
  <w:style w:type="character" w:styleId="WW8Num1387z0">
    <w:name w:val="WW8Num1387z0"/>
    <w:qFormat/>
    <w:rPr/>
  </w:style>
  <w:style w:type="character" w:styleId="WW8Num1388z0">
    <w:name w:val="WW8Num1388z0"/>
    <w:qFormat/>
    <w:rPr/>
  </w:style>
  <w:style w:type="character" w:styleId="WW8Num1389z0">
    <w:name w:val="WW8Num1389z0"/>
    <w:qFormat/>
    <w:rPr>
      <w:rFonts w:ascii="Symbol" w:hAnsi="Symbol" w:cs="Symbol"/>
    </w:rPr>
  </w:style>
  <w:style w:type="character" w:styleId="WW8Num1391z0">
    <w:name w:val="WW8Num1391z0"/>
    <w:qFormat/>
    <w:rPr/>
  </w:style>
  <w:style w:type="character" w:styleId="WW8Num1392z0">
    <w:name w:val="WW8Num1392z0"/>
    <w:qFormat/>
    <w:rPr/>
  </w:style>
  <w:style w:type="character" w:styleId="WW8Num1393z0">
    <w:name w:val="WW8Num1393z0"/>
    <w:qFormat/>
    <w:rPr>
      <w:rFonts w:ascii="Symbol" w:hAnsi="Symbol" w:cs="Symbol"/>
    </w:rPr>
  </w:style>
  <w:style w:type="character" w:styleId="WW8Num1394z0">
    <w:name w:val="WW8Num1394z0"/>
    <w:qFormat/>
    <w:rPr>
      <w:rFonts w:ascii="Symbol" w:hAnsi="Symbol" w:cs="Symbol"/>
    </w:rPr>
  </w:style>
  <w:style w:type="character" w:styleId="WW8Num1396z0">
    <w:name w:val="WW8Num1396z0"/>
    <w:qFormat/>
    <w:rPr/>
  </w:style>
  <w:style w:type="character" w:styleId="WW8Num1397z0">
    <w:name w:val="WW8Num1397z0"/>
    <w:qFormat/>
    <w:rPr>
      <w:rFonts w:ascii="Symbol" w:hAnsi="Symbol" w:cs="Symbol"/>
      <w:color w:val="auto"/>
    </w:rPr>
  </w:style>
  <w:style w:type="character" w:styleId="WW8Num1398z0">
    <w:name w:val="WW8Num1398z0"/>
    <w:qFormat/>
    <w:rPr>
      <w:rFonts w:ascii="Symbol" w:hAnsi="Symbol" w:cs="Symbol"/>
    </w:rPr>
  </w:style>
  <w:style w:type="character" w:styleId="WW8Num1400z0">
    <w:name w:val="WW8Num1400z0"/>
    <w:qFormat/>
    <w:rPr/>
  </w:style>
  <w:style w:type="character" w:styleId="WW8Num1402z0">
    <w:name w:val="WW8Num1402z0"/>
    <w:qFormat/>
    <w:rPr/>
  </w:style>
  <w:style w:type="character" w:styleId="WW8Num1404z0">
    <w:name w:val="WW8Num1404z0"/>
    <w:qFormat/>
    <w:rPr>
      <w:rFonts w:ascii="Symbol" w:hAnsi="Symbol" w:cs="Symbol"/>
    </w:rPr>
  </w:style>
  <w:style w:type="character" w:styleId="WW8Num1405z0">
    <w:name w:val="WW8Num1405z0"/>
    <w:qFormat/>
    <w:rPr/>
  </w:style>
  <w:style w:type="character" w:styleId="WW8Num1407z0">
    <w:name w:val="WW8Num1407z0"/>
    <w:qFormat/>
    <w:rPr/>
  </w:style>
  <w:style w:type="character" w:styleId="WW8Num1409z0">
    <w:name w:val="WW8Num1409z0"/>
    <w:qFormat/>
    <w:rPr/>
  </w:style>
  <w:style w:type="character" w:styleId="WW8Num1410z0">
    <w:name w:val="WW8Num1410z0"/>
    <w:qFormat/>
    <w:rPr>
      <w:rFonts w:ascii="Wingdings" w:hAnsi="Wingdings" w:cs="Wingdings"/>
    </w:rPr>
  </w:style>
  <w:style w:type="character" w:styleId="WW8Num1411z0">
    <w:name w:val="WW8Num1411z0"/>
    <w:qFormat/>
    <w:rPr/>
  </w:style>
  <w:style w:type="character" w:styleId="WW8Num1412z0">
    <w:name w:val="WW8Num1412z0"/>
    <w:qFormat/>
    <w:rPr>
      <w:rFonts w:ascii="Symbol" w:hAnsi="Symbol" w:cs="Symbol"/>
    </w:rPr>
  </w:style>
  <w:style w:type="character" w:styleId="WW8Num1413z0">
    <w:name w:val="WW8Num1413z0"/>
    <w:qFormat/>
    <w:rPr>
      <w:rFonts w:ascii="Symbol" w:hAnsi="Symbol" w:cs="Symbol"/>
    </w:rPr>
  </w:style>
  <w:style w:type="character" w:styleId="WW8Num1416z0">
    <w:name w:val="WW8Num1416z0"/>
    <w:qFormat/>
    <w:rPr>
      <w:rFonts w:ascii="Symbol" w:hAnsi="Symbol" w:cs="Symbol"/>
      <w:sz w:val="22"/>
    </w:rPr>
  </w:style>
  <w:style w:type="character" w:styleId="WW8Num1417z0">
    <w:name w:val="WW8Num1417z0"/>
    <w:qFormat/>
    <w:rPr/>
  </w:style>
  <w:style w:type="character" w:styleId="WW8Num1418z0">
    <w:name w:val="WW8Num1418z0"/>
    <w:qFormat/>
    <w:rPr>
      <w:rFonts w:ascii="Symbol" w:hAnsi="Symbol" w:cs="Symbol"/>
    </w:rPr>
  </w:style>
  <w:style w:type="character" w:styleId="WW8Num1419z0">
    <w:name w:val="WW8Num1419z0"/>
    <w:qFormat/>
    <w:rPr>
      <w:rFonts w:ascii="Symbol" w:hAnsi="Symbol" w:cs="Symbol"/>
    </w:rPr>
  </w:style>
  <w:style w:type="character" w:styleId="WW8Num1420z0">
    <w:name w:val="WW8Num1420z0"/>
    <w:qFormat/>
    <w:rPr>
      <w:rFonts w:ascii="Symbol" w:hAnsi="Symbol" w:cs="Symbol"/>
    </w:rPr>
  </w:style>
  <w:style w:type="character" w:styleId="WW8Num1421z0">
    <w:name w:val="WW8Num1421z0"/>
    <w:qFormat/>
    <w:rPr>
      <w:rFonts w:ascii="Symbol" w:hAnsi="Symbol" w:cs="Symbol"/>
    </w:rPr>
  </w:style>
  <w:style w:type="character" w:styleId="WW8Num1422z0">
    <w:name w:val="WW8Num1422z0"/>
    <w:qFormat/>
    <w:rPr/>
  </w:style>
  <w:style w:type="character" w:styleId="WW8Num1423z0">
    <w:name w:val="WW8Num1423z0"/>
    <w:qFormat/>
    <w:rPr/>
  </w:style>
  <w:style w:type="character" w:styleId="WW8Num1424z0">
    <w:name w:val="WW8Num1424z0"/>
    <w:qFormat/>
    <w:rPr>
      <w:rFonts w:ascii="Wingdings" w:hAnsi="Wingdings" w:cs="Wingdings"/>
      <w:sz w:val="16"/>
    </w:rPr>
  </w:style>
  <w:style w:type="character" w:styleId="WW8Num1427z0">
    <w:name w:val="WW8Num1427z0"/>
    <w:qFormat/>
    <w:rPr>
      <w:b w:val="false"/>
      <w:i w:val="false"/>
      <w:u w:val="none"/>
    </w:rPr>
  </w:style>
  <w:style w:type="character" w:styleId="WW8Num1428z0">
    <w:name w:val="WW8Num1428z0"/>
    <w:qFormat/>
    <w:rPr>
      <w:b w:val="false"/>
    </w:rPr>
  </w:style>
  <w:style w:type="character" w:styleId="WW8Num1429z0">
    <w:name w:val="WW8Num1429z0"/>
    <w:qFormat/>
    <w:rPr>
      <w:rFonts w:ascii="Symbol" w:hAnsi="Symbol" w:cs="Symbol"/>
    </w:rPr>
  </w:style>
  <w:style w:type="character" w:styleId="WW8Num1431z0">
    <w:name w:val="WW8Num1431z0"/>
    <w:qFormat/>
    <w:rPr>
      <w:rFonts w:ascii="Symbol" w:hAnsi="Symbol" w:cs="Symbol"/>
    </w:rPr>
  </w:style>
  <w:style w:type="character" w:styleId="WW8Num1433z0">
    <w:name w:val="WW8Num1433z0"/>
    <w:qFormat/>
    <w:rPr>
      <w:rFonts w:ascii="Symbol" w:hAnsi="Symbol" w:cs="Symbol"/>
    </w:rPr>
  </w:style>
  <w:style w:type="character" w:styleId="WW8Num1433z1">
    <w:name w:val="WW8Num1433z1"/>
    <w:qFormat/>
    <w:rPr>
      <w:rFonts w:ascii="Courier New" w:hAnsi="Courier New" w:cs="Courier New"/>
    </w:rPr>
  </w:style>
  <w:style w:type="character" w:styleId="WW8Num1433z2">
    <w:name w:val="WW8Num1433z2"/>
    <w:qFormat/>
    <w:rPr>
      <w:rFonts w:ascii="Wingdings" w:hAnsi="Wingdings" w:cs="Wingdings"/>
    </w:rPr>
  </w:style>
  <w:style w:type="character" w:styleId="WW8Num1434z0">
    <w:name w:val="WW8Num1434z0"/>
    <w:qFormat/>
    <w:rPr>
      <w:rFonts w:ascii="Symbol" w:hAnsi="Symbol" w:cs="Symbol"/>
      <w:color w:val="auto"/>
    </w:rPr>
  </w:style>
  <w:style w:type="character" w:styleId="WW8Num1435z0">
    <w:name w:val="WW8Num1435z0"/>
    <w:qFormat/>
    <w:rPr>
      <w:rFonts w:ascii="Wingdings" w:hAnsi="Wingdings" w:cs="Wingdings"/>
    </w:rPr>
  </w:style>
  <w:style w:type="character" w:styleId="WW8Num1436z0">
    <w:name w:val="WW8Num1436z0"/>
    <w:qFormat/>
    <w:rPr>
      <w:rFonts w:ascii="Symbol" w:hAnsi="Symbol" w:cs="Symbol"/>
    </w:rPr>
  </w:style>
  <w:style w:type="character" w:styleId="WW8Num1437z0">
    <w:name w:val="WW8Num1437z0"/>
    <w:qFormat/>
    <w:rPr>
      <w:rFonts w:ascii="Symbol" w:hAnsi="Symbol" w:cs="Symbol"/>
      <w:color w:val="auto"/>
    </w:rPr>
  </w:style>
  <w:style w:type="character" w:styleId="WW8Num1438z0">
    <w:name w:val="WW8Num1438z0"/>
    <w:qFormat/>
    <w:rPr/>
  </w:style>
  <w:style w:type="character" w:styleId="WW8Num1439z0">
    <w:name w:val="WW8Num1439z0"/>
    <w:qFormat/>
    <w:rPr>
      <w:rFonts w:ascii="Symbol" w:hAnsi="Symbol" w:cs="Symbol"/>
    </w:rPr>
  </w:style>
  <w:style w:type="character" w:styleId="WW8Num1440z0">
    <w:name w:val="WW8Num1440z0"/>
    <w:qFormat/>
    <w:rPr/>
  </w:style>
  <w:style w:type="character" w:styleId="WW8Num1442z0">
    <w:name w:val="WW8Num1442z0"/>
    <w:qFormat/>
    <w:rPr>
      <w:b w:val="false"/>
      <w:i w:val="false"/>
      <w:u w:val="none"/>
    </w:rPr>
  </w:style>
  <w:style w:type="character" w:styleId="WW8Num1443z0">
    <w:name w:val="WW8Num1443z0"/>
    <w:qFormat/>
    <w:rPr>
      <w:rFonts w:ascii="Symbol" w:hAnsi="Symbol" w:cs="Symbol"/>
    </w:rPr>
  </w:style>
  <w:style w:type="character" w:styleId="WW8Num1443z1">
    <w:name w:val="WW8Num1443z1"/>
    <w:qFormat/>
    <w:rPr>
      <w:rFonts w:ascii="Courier New" w:hAnsi="Courier New" w:cs="Courier New"/>
    </w:rPr>
  </w:style>
  <w:style w:type="character" w:styleId="WW8Num1443z2">
    <w:name w:val="WW8Num1443z2"/>
    <w:qFormat/>
    <w:rPr>
      <w:rFonts w:ascii="Wingdings" w:hAnsi="Wingdings" w:cs="Wingdings"/>
    </w:rPr>
  </w:style>
  <w:style w:type="character" w:styleId="WW8Num1444z0">
    <w:name w:val="WW8Num1444z0"/>
    <w:qFormat/>
    <w:rPr>
      <w:rFonts w:ascii="Symbol" w:hAnsi="Symbol" w:cs="Symbol"/>
    </w:rPr>
  </w:style>
  <w:style w:type="character" w:styleId="WW8Num1444z1">
    <w:name w:val="WW8Num1444z1"/>
    <w:qFormat/>
    <w:rPr>
      <w:rFonts w:ascii="Courier New" w:hAnsi="Courier New" w:cs="Courier New"/>
    </w:rPr>
  </w:style>
  <w:style w:type="character" w:styleId="WW8Num1444z2">
    <w:name w:val="WW8Num1444z2"/>
    <w:qFormat/>
    <w:rPr>
      <w:rFonts w:ascii="Wingdings" w:hAnsi="Wingdings" w:cs="Wingdings"/>
    </w:rPr>
  </w:style>
  <w:style w:type="character" w:styleId="WW8Num1445z0">
    <w:name w:val="WW8Num1445z0"/>
    <w:qFormat/>
    <w:rPr>
      <w:rFonts w:ascii="Symbol" w:hAnsi="Symbol" w:cs="Symbol"/>
    </w:rPr>
  </w:style>
  <w:style w:type="character" w:styleId="WW8Num1447z0">
    <w:name w:val="WW8Num1447z0"/>
    <w:qFormat/>
    <w:rPr/>
  </w:style>
  <w:style w:type="character" w:styleId="WW8Num1448z0">
    <w:name w:val="WW8Num1448z0"/>
    <w:qFormat/>
    <w:rPr>
      <w:rFonts w:ascii="Univers" w:hAnsi="Univers" w:cs="Univers"/>
      <w:b/>
      <w:i w:val="false"/>
    </w:rPr>
  </w:style>
  <w:style w:type="character" w:styleId="WW8Num1448z1">
    <w:name w:val="WW8Num1448z1"/>
    <w:qFormat/>
    <w:rPr>
      <w:rFonts w:ascii="Univers" w:hAnsi="Univers" w:cs="Univers"/>
      <w:b/>
      <w:i w:val="false"/>
      <w:sz w:val="24"/>
      <w:szCs w:val="24"/>
    </w:rPr>
  </w:style>
  <w:style w:type="character" w:styleId="WW8Num1449z0">
    <w:name w:val="WW8Num1449z0"/>
    <w:qFormat/>
    <w:rPr/>
  </w:style>
  <w:style w:type="character" w:styleId="WW8Num1450z0">
    <w:name w:val="WW8Num1450z0"/>
    <w:qFormat/>
    <w:rPr/>
  </w:style>
  <w:style w:type="character" w:styleId="WW8Num1451z0">
    <w:name w:val="WW8Num1451z0"/>
    <w:qFormat/>
    <w:rPr>
      <w:rFonts w:ascii="Symbol" w:hAnsi="Symbol" w:cs="Symbol"/>
    </w:rPr>
  </w:style>
  <w:style w:type="character" w:styleId="WW8Num1451z1">
    <w:name w:val="WW8Num1451z1"/>
    <w:qFormat/>
    <w:rPr>
      <w:rFonts w:ascii="Courier New" w:hAnsi="Courier New" w:cs="Courier New"/>
    </w:rPr>
  </w:style>
  <w:style w:type="character" w:styleId="WW8Num1451z2">
    <w:name w:val="WW8Num1451z2"/>
    <w:qFormat/>
    <w:rPr>
      <w:rFonts w:ascii="Wingdings" w:hAnsi="Wingdings" w:cs="Wingdings"/>
    </w:rPr>
  </w:style>
  <w:style w:type="character" w:styleId="WW8Num1452z0">
    <w:name w:val="WW8Num1452z0"/>
    <w:qFormat/>
    <w:rPr>
      <w:rFonts w:ascii="Symbol" w:hAnsi="Symbol" w:cs="Symbol"/>
    </w:rPr>
  </w:style>
  <w:style w:type="character" w:styleId="WW8Num1454z0">
    <w:name w:val="WW8Num1454z0"/>
    <w:qFormat/>
    <w:rPr>
      <w:rFonts w:ascii="Symbol" w:hAnsi="Symbol" w:cs="Symbol"/>
    </w:rPr>
  </w:style>
  <w:style w:type="character" w:styleId="WW8Num1456z0">
    <w:name w:val="WW8Num1456z0"/>
    <w:qFormat/>
    <w:rPr>
      <w:rFonts w:ascii="Symbol" w:hAnsi="Symbol" w:cs="Symbol"/>
    </w:rPr>
  </w:style>
  <w:style w:type="character" w:styleId="WW8Num1457z0">
    <w:name w:val="WW8Num1457z0"/>
    <w:qFormat/>
    <w:rPr/>
  </w:style>
  <w:style w:type="character" w:styleId="WW8Num1458z0">
    <w:name w:val="WW8Num1458z0"/>
    <w:qFormat/>
    <w:rPr>
      <w:rFonts w:ascii="Symbol" w:hAnsi="Symbol" w:cs="Symbol"/>
    </w:rPr>
  </w:style>
  <w:style w:type="character" w:styleId="WW8Num1460z0">
    <w:name w:val="WW8Num1460z0"/>
    <w:qFormat/>
    <w:rPr/>
  </w:style>
  <w:style w:type="character" w:styleId="WW8Num1462z0">
    <w:name w:val="WW8Num1462z0"/>
    <w:qFormat/>
    <w:rPr>
      <w:rFonts w:ascii="Univers" w:hAnsi="Univers" w:cs="Univers"/>
      <w:b/>
      <w:i w:val="false"/>
      <w:sz w:val="28"/>
      <w:szCs w:val="28"/>
    </w:rPr>
  </w:style>
  <w:style w:type="character" w:styleId="WW8Num1462z1">
    <w:name w:val="WW8Num1462z1"/>
    <w:qFormat/>
    <w:rPr>
      <w:rFonts w:ascii="Univers" w:hAnsi="Univers" w:cs="Univers"/>
      <w:b/>
      <w:i w:val="false"/>
      <w:sz w:val="24"/>
      <w:szCs w:val="24"/>
    </w:rPr>
  </w:style>
  <w:style w:type="character" w:styleId="WW8Num1462z8">
    <w:name w:val="WW8Num1462z8"/>
    <w:qFormat/>
    <w:rPr>
      <w:rFonts w:ascii="Univers" w:hAnsi="Univers" w:cs="Univers"/>
      <w:b w:val="false"/>
      <w:i w:val="false"/>
      <w:sz w:val="24"/>
      <w:szCs w:val="24"/>
    </w:rPr>
  </w:style>
  <w:style w:type="character" w:styleId="WW8Num1463z0">
    <w:name w:val="WW8Num1463z0"/>
    <w:qFormat/>
    <w:rPr>
      <w:rFonts w:ascii="Symbol" w:hAnsi="Symbol" w:cs="Symbol"/>
    </w:rPr>
  </w:style>
  <w:style w:type="character" w:styleId="WW8Num1464z0">
    <w:name w:val="WW8Num1464z0"/>
    <w:qFormat/>
    <w:rPr>
      <w:b/>
    </w:rPr>
  </w:style>
  <w:style w:type="character" w:styleId="WW8Num1465z0">
    <w:name w:val="WW8Num1465z0"/>
    <w:qFormat/>
    <w:rPr>
      <w:rFonts w:ascii="Symbol" w:hAnsi="Symbol" w:cs="Symbol"/>
    </w:rPr>
  </w:style>
  <w:style w:type="character" w:styleId="WW8Num1466z0">
    <w:name w:val="WW8Num1466z0"/>
    <w:qFormat/>
    <w:rPr>
      <w:rFonts w:ascii="Marlett" w:hAnsi="Marlett" w:cs="Marlett"/>
    </w:rPr>
  </w:style>
  <w:style w:type="character" w:styleId="WW8Num1467z0">
    <w:name w:val="WW8Num1467z0"/>
    <w:qFormat/>
    <w:rPr>
      <w:rFonts w:ascii="Symbol" w:hAnsi="Symbol" w:cs="Symbol"/>
    </w:rPr>
  </w:style>
  <w:style w:type="character" w:styleId="WW8Num1469z0">
    <w:name w:val="WW8Num1469z0"/>
    <w:qFormat/>
    <w:rPr>
      <w:rFonts w:ascii="Symbol" w:hAnsi="Symbol" w:cs="Symbol"/>
    </w:rPr>
  </w:style>
  <w:style w:type="character" w:styleId="WW8Num1470z0">
    <w:name w:val="WW8Num1470z0"/>
    <w:qFormat/>
    <w:rPr>
      <w:rFonts w:ascii="Symbol" w:hAnsi="Symbol" w:cs="Symbol"/>
      <w:sz w:val="22"/>
    </w:rPr>
  </w:style>
  <w:style w:type="character" w:styleId="WW8Num1471z0">
    <w:name w:val="WW8Num1471z0"/>
    <w:qFormat/>
    <w:rPr>
      <w:rFonts w:ascii="Symbol" w:hAnsi="Symbol" w:cs="Symbol"/>
      <w:sz w:val="16"/>
    </w:rPr>
  </w:style>
  <w:style w:type="character" w:styleId="WW8Num1472z0">
    <w:name w:val="WW8Num1472z0"/>
    <w:qFormat/>
    <w:rPr>
      <w:rFonts w:ascii="Symbol" w:hAnsi="Symbol" w:cs="Symbol"/>
    </w:rPr>
  </w:style>
  <w:style w:type="character" w:styleId="WW8Num1473z0">
    <w:name w:val="WW8Num1473z0"/>
    <w:qFormat/>
    <w:rPr/>
  </w:style>
  <w:style w:type="character" w:styleId="WW8Num1474z0">
    <w:name w:val="WW8Num1474z0"/>
    <w:qFormat/>
    <w:rPr>
      <w:rFonts w:ascii="Symbol" w:hAnsi="Symbol" w:cs="Symbol"/>
    </w:rPr>
  </w:style>
  <w:style w:type="character" w:styleId="WW8Num1475z0">
    <w:name w:val="WW8Num1475z0"/>
    <w:qFormat/>
    <w:rPr>
      <w:rFonts w:ascii="Symbol" w:hAnsi="Symbol" w:cs="Symbol"/>
      <w:color w:val="auto"/>
    </w:rPr>
  </w:style>
  <w:style w:type="character" w:styleId="WW8Num1476z0">
    <w:name w:val="WW8Num1476z0"/>
    <w:qFormat/>
    <w:rPr>
      <w:rFonts w:ascii="Symbol" w:hAnsi="Symbol" w:cs="Symbol"/>
      <w:color w:val="auto"/>
    </w:rPr>
  </w:style>
  <w:style w:type="character" w:styleId="WW8Num1478z0">
    <w:name w:val="WW8Num1478z0"/>
    <w:qFormat/>
    <w:rPr>
      <w:rFonts w:ascii="Times New Roman" w:hAnsi="Times New Roman" w:cs="Times New Roman"/>
      <w:b w:val="false"/>
      <w:i w:val="false"/>
      <w:sz w:val="22"/>
    </w:rPr>
  </w:style>
  <w:style w:type="character" w:styleId="WW8Num1479z0">
    <w:name w:val="WW8Num1479z0"/>
    <w:qFormat/>
    <w:rPr>
      <w:rFonts w:ascii="Symbol" w:hAnsi="Symbol" w:cs="Symbol"/>
    </w:rPr>
  </w:style>
  <w:style w:type="character" w:styleId="WW8Num1479z1">
    <w:name w:val="WW8Num1479z1"/>
    <w:qFormat/>
    <w:rPr>
      <w:rFonts w:ascii="Courier New" w:hAnsi="Courier New" w:cs="Courier New"/>
    </w:rPr>
  </w:style>
  <w:style w:type="character" w:styleId="WW8Num1479z2">
    <w:name w:val="WW8Num1479z2"/>
    <w:qFormat/>
    <w:rPr>
      <w:rFonts w:ascii="Wingdings" w:hAnsi="Wingdings" w:cs="Wingdings"/>
    </w:rPr>
  </w:style>
  <w:style w:type="character" w:styleId="WW8Num1480z0">
    <w:name w:val="WW8Num1480z0"/>
    <w:qFormat/>
    <w:rPr/>
  </w:style>
  <w:style w:type="character" w:styleId="WW8Num1481z0">
    <w:name w:val="WW8Num1481z0"/>
    <w:qFormat/>
    <w:rPr>
      <w:rFonts w:ascii="Symbol" w:hAnsi="Symbol" w:cs="Symbol"/>
    </w:rPr>
  </w:style>
  <w:style w:type="character" w:styleId="WW8Num1482z0">
    <w:name w:val="WW8Num1482z0"/>
    <w:qFormat/>
    <w:rPr>
      <w:rFonts w:ascii="Symbol" w:hAnsi="Symbol" w:cs="Symbol"/>
    </w:rPr>
  </w:style>
  <w:style w:type="character" w:styleId="WW8Num1483z0">
    <w:name w:val="WW8Num1483z0"/>
    <w:qFormat/>
    <w:rPr>
      <w:rFonts w:ascii="Symbol" w:hAnsi="Symbol" w:cs="Symbol"/>
      <w:color w:val="000000"/>
      <w:sz w:val="18"/>
      <w:szCs w:val="18"/>
    </w:rPr>
  </w:style>
  <w:style w:type="character" w:styleId="WW8Num1486z0">
    <w:name w:val="WW8Num1486z0"/>
    <w:qFormat/>
    <w:rPr>
      <w:rFonts w:ascii="Symbol" w:hAnsi="Symbol" w:cs="Symbol"/>
    </w:rPr>
  </w:style>
  <w:style w:type="character" w:styleId="WW8Num1487z0">
    <w:name w:val="WW8Num1487z0"/>
    <w:qFormat/>
    <w:rPr>
      <w:b w:val="false"/>
      <w:i w:val="false"/>
      <w:u w:val="none"/>
    </w:rPr>
  </w:style>
  <w:style w:type="character" w:styleId="WW8Num1488z0">
    <w:name w:val="WW8Num1488z0"/>
    <w:qFormat/>
    <w:rPr/>
  </w:style>
  <w:style w:type="character" w:styleId="WW8Num1490z0">
    <w:name w:val="WW8Num1490z0"/>
    <w:qFormat/>
    <w:rPr>
      <w:b w:val="false"/>
      <w:i w:val="false"/>
      <w:sz w:val="24"/>
    </w:rPr>
  </w:style>
  <w:style w:type="character" w:styleId="WW8Num1492z0">
    <w:name w:val="WW8Num1492z0"/>
    <w:qFormat/>
    <w:rPr>
      <w:rFonts w:ascii="Symbol" w:hAnsi="Symbol" w:cs="Symbol"/>
    </w:rPr>
  </w:style>
  <w:style w:type="character" w:styleId="WW8Num1493z0">
    <w:name w:val="WW8Num1493z0"/>
    <w:qFormat/>
    <w:rPr/>
  </w:style>
  <w:style w:type="character" w:styleId="WW8Num1494z0">
    <w:name w:val="WW8Num1494z0"/>
    <w:qFormat/>
    <w:rPr>
      <w:b/>
    </w:rPr>
  </w:style>
  <w:style w:type="character" w:styleId="WW8Num1496z0">
    <w:name w:val="WW8Num1496z0"/>
    <w:qFormat/>
    <w:rPr>
      <w:rFonts w:ascii="Symbol" w:hAnsi="Symbol" w:cs="Symbol"/>
    </w:rPr>
  </w:style>
  <w:style w:type="character" w:styleId="WW8Num1497z0">
    <w:name w:val="WW8Num1497z0"/>
    <w:qFormat/>
    <w:rPr>
      <w:rFonts w:ascii="Symbol" w:hAnsi="Symbol" w:cs="Symbol"/>
    </w:rPr>
  </w:style>
  <w:style w:type="character" w:styleId="WW8Num1497z1">
    <w:name w:val="WW8Num1497z1"/>
    <w:qFormat/>
    <w:rPr>
      <w:rFonts w:ascii="Courier New" w:hAnsi="Courier New" w:cs="Courier New"/>
    </w:rPr>
  </w:style>
  <w:style w:type="character" w:styleId="WW8Num1497z2">
    <w:name w:val="WW8Num1497z2"/>
    <w:qFormat/>
    <w:rPr>
      <w:rFonts w:ascii="Wingdings" w:hAnsi="Wingdings" w:cs="Wingdings"/>
    </w:rPr>
  </w:style>
  <w:style w:type="character" w:styleId="WW8Num1498z0">
    <w:name w:val="WW8Num1498z0"/>
    <w:qFormat/>
    <w:rPr/>
  </w:style>
  <w:style w:type="character" w:styleId="WW8Num1499z0">
    <w:name w:val="WW8Num1499z0"/>
    <w:qFormat/>
    <w:rPr>
      <w:rFonts w:ascii="Symbol" w:hAnsi="Symbol" w:cs="Symbol"/>
    </w:rPr>
  </w:style>
  <w:style w:type="character" w:styleId="WW8Num1500z0">
    <w:name w:val="WW8Num1500z0"/>
    <w:qFormat/>
    <w:rPr>
      <w:rFonts w:ascii="Symbol" w:hAnsi="Symbol" w:cs="Symbol"/>
    </w:rPr>
  </w:style>
  <w:style w:type="character" w:styleId="WW8Num1503z0">
    <w:name w:val="WW8Num1503z0"/>
    <w:qFormat/>
    <w:rPr>
      <w:rFonts w:ascii="Symbol" w:hAnsi="Symbol" w:cs="Symbol"/>
    </w:rPr>
  </w:style>
  <w:style w:type="character" w:styleId="WW8Num1504z0">
    <w:name w:val="WW8Num1504z0"/>
    <w:qFormat/>
    <w:rPr/>
  </w:style>
  <w:style w:type="character" w:styleId="WW8Num1504z1">
    <w:name w:val="WW8Num1504z1"/>
    <w:qFormat/>
    <w:rPr>
      <w:rFonts w:ascii="Symbol" w:hAnsi="Symbol" w:cs="Symbol"/>
    </w:rPr>
  </w:style>
  <w:style w:type="character" w:styleId="WW8Num1505z0">
    <w:name w:val="WW8Num1505z0"/>
    <w:qFormat/>
    <w:rPr>
      <w:rFonts w:ascii="Symbol" w:hAnsi="Symbol" w:cs="Symbol"/>
    </w:rPr>
  </w:style>
  <w:style w:type="character" w:styleId="WW8Num1506z0">
    <w:name w:val="WW8Num1506z0"/>
    <w:qFormat/>
    <w:rPr>
      <w:b/>
    </w:rPr>
  </w:style>
  <w:style w:type="character" w:styleId="WW8Num1507z0">
    <w:name w:val="WW8Num1507z0"/>
    <w:qFormat/>
    <w:rPr/>
  </w:style>
  <w:style w:type="character" w:styleId="WW8Num1508z0">
    <w:name w:val="WW8Num1508z0"/>
    <w:qFormat/>
    <w:rPr/>
  </w:style>
  <w:style w:type="character" w:styleId="WW8Num1509z0">
    <w:name w:val="WW8Num1509z0"/>
    <w:qFormat/>
    <w:rPr>
      <w:rFonts w:ascii="Symbol" w:hAnsi="Symbol" w:cs="Symbol"/>
    </w:rPr>
  </w:style>
  <w:style w:type="character" w:styleId="WW8Num1510z0">
    <w:name w:val="WW8Num1510z0"/>
    <w:qFormat/>
    <w:rPr>
      <w:rFonts w:ascii="Symbol" w:hAnsi="Symbol" w:cs="Symbol"/>
    </w:rPr>
  </w:style>
  <w:style w:type="character" w:styleId="WW8Num1511z0">
    <w:name w:val="WW8Num1511z0"/>
    <w:qFormat/>
    <w:rPr>
      <w:rFonts w:ascii="Symbol" w:hAnsi="Symbol" w:cs="Symbol"/>
    </w:rPr>
  </w:style>
  <w:style w:type="character" w:styleId="WW8Num1512z0">
    <w:name w:val="WW8Num1512z0"/>
    <w:qFormat/>
    <w:rPr>
      <w:rFonts w:ascii="Symbol" w:hAnsi="Symbol" w:cs="Symbol"/>
    </w:rPr>
  </w:style>
  <w:style w:type="character" w:styleId="WW8Num1513z0">
    <w:name w:val="WW8Num1513z0"/>
    <w:qFormat/>
    <w:rPr>
      <w:rFonts w:ascii="Symbol" w:hAnsi="Symbol" w:cs="Symbol"/>
    </w:rPr>
  </w:style>
  <w:style w:type="character" w:styleId="WW8Num1514z0">
    <w:name w:val="WW8Num1514z0"/>
    <w:qFormat/>
    <w:rPr>
      <w:rFonts w:ascii="Symbol" w:hAnsi="Symbol" w:cs="Symbol"/>
    </w:rPr>
  </w:style>
  <w:style w:type="character" w:styleId="WW8Num1515z0">
    <w:name w:val="WW8Num1515z0"/>
    <w:qFormat/>
    <w:rPr>
      <w:rFonts w:ascii="Symbol" w:hAnsi="Symbol" w:cs="Symbol"/>
      <w:color w:val="000000"/>
      <w:sz w:val="18"/>
      <w:szCs w:val="18"/>
    </w:rPr>
  </w:style>
  <w:style w:type="character" w:styleId="WW8Num1516z0">
    <w:name w:val="WW8Num1516z0"/>
    <w:qFormat/>
    <w:rPr/>
  </w:style>
  <w:style w:type="character" w:styleId="WW8Num1517z0">
    <w:name w:val="WW8Num1517z0"/>
    <w:qFormat/>
    <w:rPr>
      <w:rFonts w:ascii="Symbol" w:hAnsi="Symbol" w:cs="Symbol"/>
    </w:rPr>
  </w:style>
  <w:style w:type="character" w:styleId="WW8Num1518z0">
    <w:name w:val="WW8Num1518z0"/>
    <w:qFormat/>
    <w:rPr>
      <w:rFonts w:ascii="Symbol" w:hAnsi="Symbol" w:cs="Symbol"/>
    </w:rPr>
  </w:style>
  <w:style w:type="character" w:styleId="WW8Num1519z0">
    <w:name w:val="WW8Num1519z0"/>
    <w:qFormat/>
    <w:rPr/>
  </w:style>
  <w:style w:type="character" w:styleId="WW8Num1520z0">
    <w:name w:val="WW8Num1520z0"/>
    <w:qFormat/>
    <w:rPr>
      <w:rFonts w:ascii="Symbol" w:hAnsi="Symbol" w:cs="Symbol"/>
    </w:rPr>
  </w:style>
  <w:style w:type="character" w:styleId="WW8Num1521z0">
    <w:name w:val="WW8Num1521z0"/>
    <w:qFormat/>
    <w:rPr/>
  </w:style>
  <w:style w:type="character" w:styleId="WW8Num1522z0">
    <w:name w:val="WW8Num1522z0"/>
    <w:qFormat/>
    <w:rPr>
      <w:rFonts w:ascii="Symbol" w:hAnsi="Symbol" w:cs="Symbol"/>
    </w:rPr>
  </w:style>
  <w:style w:type="character" w:styleId="WW8Num1523z0">
    <w:name w:val="WW8Num1523z0"/>
    <w:qFormat/>
    <w:rPr/>
  </w:style>
  <w:style w:type="character" w:styleId="WW8Num1524z0">
    <w:name w:val="WW8Num1524z0"/>
    <w:qFormat/>
    <w:rPr>
      <w:rFonts w:ascii="Times New Roman" w:hAnsi="Times New Roman" w:cs="Times New Roman"/>
      <w:b/>
      <w:i w:val="false"/>
      <w:sz w:val="24"/>
    </w:rPr>
  </w:style>
  <w:style w:type="character" w:styleId="WW8Num1524z3">
    <w:name w:val="WW8Num1524z3"/>
    <w:qFormat/>
    <w:rPr>
      <w:rFonts w:ascii="Times New Roman" w:hAnsi="Times New Roman" w:cs="Times New Roman"/>
      <w:b w:val="false"/>
      <w:i w:val="false"/>
      <w:sz w:val="24"/>
    </w:rPr>
  </w:style>
  <w:style w:type="character" w:styleId="WW8Num1525z0">
    <w:name w:val="WW8Num1525z0"/>
    <w:qFormat/>
    <w:rPr/>
  </w:style>
  <w:style w:type="character" w:styleId="WW8Num1526z0">
    <w:name w:val="WW8Num1526z0"/>
    <w:qFormat/>
    <w:rPr/>
  </w:style>
  <w:style w:type="character" w:styleId="WW8Num1527z0">
    <w:name w:val="WW8Num1527z0"/>
    <w:qFormat/>
    <w:rPr>
      <w:rFonts w:ascii="Symbol" w:hAnsi="Symbol" w:cs="Symbol"/>
    </w:rPr>
  </w:style>
  <w:style w:type="character" w:styleId="WW8Num1528z0">
    <w:name w:val="WW8Num1528z0"/>
    <w:qFormat/>
    <w:rPr/>
  </w:style>
  <w:style w:type="character" w:styleId="WW8Num1530z0">
    <w:name w:val="WW8Num1530z0"/>
    <w:qFormat/>
    <w:rPr/>
  </w:style>
  <w:style w:type="character" w:styleId="WW8Num1531z0">
    <w:name w:val="WW8Num1531z0"/>
    <w:qFormat/>
    <w:rPr/>
  </w:style>
  <w:style w:type="character" w:styleId="WW8Num1532z0">
    <w:name w:val="WW8Num1532z0"/>
    <w:qFormat/>
    <w:rPr>
      <w:rFonts w:ascii="Symbol" w:hAnsi="Symbol" w:cs="Symbol"/>
    </w:rPr>
  </w:style>
  <w:style w:type="character" w:styleId="WW8Num1533z0">
    <w:name w:val="WW8Num1533z0"/>
    <w:qFormat/>
    <w:rPr>
      <w:rFonts w:ascii="Symbol" w:hAnsi="Symbol" w:cs="Symbol"/>
    </w:rPr>
  </w:style>
  <w:style w:type="character" w:styleId="WW8Num1534z0">
    <w:name w:val="WW8Num1534z0"/>
    <w:qFormat/>
    <w:rPr>
      <w:rFonts w:ascii="Symbol" w:hAnsi="Symbol" w:cs="Symbol"/>
      <w:sz w:val="22"/>
    </w:rPr>
  </w:style>
  <w:style w:type="character" w:styleId="WW8Num1535z0">
    <w:name w:val="WW8Num1535z0"/>
    <w:qFormat/>
    <w:rPr>
      <w:rFonts w:ascii="Symbol" w:hAnsi="Symbol" w:cs="Symbol"/>
      <w:color w:val="auto"/>
    </w:rPr>
  </w:style>
  <w:style w:type="character" w:styleId="WW8Num1536z0">
    <w:name w:val="WW8Num1536z0"/>
    <w:qFormat/>
    <w:rPr>
      <w:rFonts w:ascii="Symbol" w:hAnsi="Symbol" w:cs="Symbol"/>
    </w:rPr>
  </w:style>
  <w:style w:type="character" w:styleId="WW8Num1538z0">
    <w:name w:val="WW8Num1538z0"/>
    <w:qFormat/>
    <w:rPr>
      <w:rFonts w:ascii="Symbol" w:hAnsi="Symbol" w:cs="Symbol"/>
    </w:rPr>
  </w:style>
  <w:style w:type="character" w:styleId="WW8Num1539z0">
    <w:name w:val="WW8Num1539z0"/>
    <w:qFormat/>
    <w:rPr>
      <w:rFonts w:ascii="Symbol" w:hAnsi="Symbol" w:cs="Symbol"/>
    </w:rPr>
  </w:style>
  <w:style w:type="character" w:styleId="WW8Num1540z0">
    <w:name w:val="WW8Num1540z0"/>
    <w:qFormat/>
    <w:rPr>
      <w:rFonts w:ascii="Symbol" w:hAnsi="Symbol" w:cs="Symbol"/>
    </w:rPr>
  </w:style>
  <w:style w:type="character" w:styleId="WW8Num1541z0">
    <w:name w:val="WW8Num1541z0"/>
    <w:qFormat/>
    <w:rPr>
      <w:rFonts w:ascii="Symbol" w:hAnsi="Symbol" w:cs="Symbol"/>
    </w:rPr>
  </w:style>
  <w:style w:type="character" w:styleId="WW8Num1542z0">
    <w:name w:val="WW8Num1542z0"/>
    <w:qFormat/>
    <w:rPr>
      <w:rFonts w:ascii="Symbol" w:hAnsi="Symbol" w:cs="Symbol"/>
    </w:rPr>
  </w:style>
  <w:style w:type="character" w:styleId="WW8Num1543z0">
    <w:name w:val="WW8Num1543z0"/>
    <w:qFormat/>
    <w:rPr/>
  </w:style>
  <w:style w:type="character" w:styleId="WW8Num1544z0">
    <w:name w:val="WW8Num1544z0"/>
    <w:qFormat/>
    <w:rPr/>
  </w:style>
  <w:style w:type="character" w:styleId="WW8Num1545z0">
    <w:name w:val="WW8Num1545z0"/>
    <w:qFormat/>
    <w:rPr>
      <w:rFonts w:ascii="Symbol" w:hAnsi="Symbol" w:cs="Symbol"/>
    </w:rPr>
  </w:style>
  <w:style w:type="character" w:styleId="WW8Num1545z1">
    <w:name w:val="WW8Num1545z1"/>
    <w:qFormat/>
    <w:rPr>
      <w:rFonts w:ascii="Courier New" w:hAnsi="Courier New" w:cs="Courier New"/>
    </w:rPr>
  </w:style>
  <w:style w:type="character" w:styleId="WW8Num1545z2">
    <w:name w:val="WW8Num1545z2"/>
    <w:qFormat/>
    <w:rPr>
      <w:rFonts w:ascii="Wingdings" w:hAnsi="Wingdings" w:cs="Wingdings"/>
    </w:rPr>
  </w:style>
  <w:style w:type="character" w:styleId="WW8Num1547z0">
    <w:name w:val="WW8Num1547z0"/>
    <w:qFormat/>
    <w:rPr>
      <w:rFonts w:ascii="Symbol" w:hAnsi="Symbol" w:cs="Symbol"/>
    </w:rPr>
  </w:style>
  <w:style w:type="character" w:styleId="WW8Num1548z0">
    <w:name w:val="WW8Num1548z0"/>
    <w:qFormat/>
    <w:rPr/>
  </w:style>
  <w:style w:type="character" w:styleId="WW8Num1549z0">
    <w:name w:val="WW8Num1549z0"/>
    <w:qFormat/>
    <w:rPr>
      <w:rFonts w:ascii="Symbol" w:hAnsi="Symbol" w:cs="Symbol"/>
    </w:rPr>
  </w:style>
  <w:style w:type="character" w:styleId="WW8Num1551z0">
    <w:name w:val="WW8Num1551z0"/>
    <w:qFormat/>
    <w:rPr>
      <w:rFonts w:ascii="Symbol" w:hAnsi="Symbol" w:cs="Symbol"/>
    </w:rPr>
  </w:style>
  <w:style w:type="character" w:styleId="WW8Num1552z0">
    <w:name w:val="WW8Num1552z0"/>
    <w:qFormat/>
    <w:rPr>
      <w:rFonts w:ascii="Symbol" w:hAnsi="Symbol" w:cs="Symbol"/>
    </w:rPr>
  </w:style>
  <w:style w:type="character" w:styleId="WW8Num1553z0">
    <w:name w:val="WW8Num1553z0"/>
    <w:qFormat/>
    <w:rPr/>
  </w:style>
  <w:style w:type="character" w:styleId="WW8Num1554z0">
    <w:name w:val="WW8Num1554z0"/>
    <w:qFormat/>
    <w:rPr/>
  </w:style>
  <w:style w:type="character" w:styleId="WW8Num1556z0">
    <w:name w:val="WW8Num1556z0"/>
    <w:qFormat/>
    <w:rPr/>
  </w:style>
  <w:style w:type="character" w:styleId="WW8Num1557z0">
    <w:name w:val="WW8Num1557z0"/>
    <w:qFormat/>
    <w:rPr>
      <w:rFonts w:ascii="Symbol" w:hAnsi="Symbol" w:cs="Symbol"/>
    </w:rPr>
  </w:style>
  <w:style w:type="character" w:styleId="WW8Num1559z0">
    <w:name w:val="WW8Num1559z0"/>
    <w:qFormat/>
    <w:rPr>
      <w:rFonts w:ascii="Symbol" w:hAnsi="Symbol" w:cs="Symbol"/>
    </w:rPr>
  </w:style>
  <w:style w:type="character" w:styleId="WW8Num1560z0">
    <w:name w:val="WW8Num1560z0"/>
    <w:qFormat/>
    <w:rPr>
      <w:rFonts w:ascii="Symbol" w:hAnsi="Symbol" w:cs="Symbol"/>
    </w:rPr>
  </w:style>
  <w:style w:type="character" w:styleId="WW8Num1561z0">
    <w:name w:val="WW8Num1561z0"/>
    <w:qFormat/>
    <w:rPr>
      <w:rFonts w:ascii="Symbol" w:hAnsi="Symbol" w:cs="Symbol"/>
    </w:rPr>
  </w:style>
  <w:style w:type="character" w:styleId="WW8Num1562z0">
    <w:name w:val="WW8Num1562z0"/>
    <w:qFormat/>
    <w:rPr>
      <w:rFonts w:ascii="Symbol" w:hAnsi="Symbol" w:cs="Symbol"/>
      <w:color w:val="auto"/>
    </w:rPr>
  </w:style>
  <w:style w:type="character" w:styleId="WW8Num1563z0">
    <w:name w:val="WW8Num1563z0"/>
    <w:qFormat/>
    <w:rPr>
      <w:rFonts w:ascii="Symbol" w:hAnsi="Symbol" w:cs="Symbol"/>
    </w:rPr>
  </w:style>
  <w:style w:type="character" w:styleId="WW8Num1564z0">
    <w:name w:val="WW8Num1564z0"/>
    <w:qFormat/>
    <w:rPr>
      <w:rFonts w:ascii="Symbol" w:hAnsi="Symbol" w:cs="Symbol"/>
      <w:color w:val="auto"/>
      <w:sz w:val="20"/>
    </w:rPr>
  </w:style>
  <w:style w:type="character" w:styleId="WW8Num1565z0">
    <w:name w:val="WW8Num1565z0"/>
    <w:qFormat/>
    <w:rPr>
      <w:rFonts w:ascii="Symbol" w:hAnsi="Symbol" w:cs="Symbol"/>
    </w:rPr>
  </w:style>
  <w:style w:type="character" w:styleId="WW8Num1566z0">
    <w:name w:val="WW8Num1566z0"/>
    <w:qFormat/>
    <w:rPr/>
  </w:style>
  <w:style w:type="character" w:styleId="WW8Num1568z0">
    <w:name w:val="WW8Num1568z0"/>
    <w:qFormat/>
    <w:rPr>
      <w:rFonts w:ascii="Symbol" w:hAnsi="Symbol" w:cs="Symbol"/>
    </w:rPr>
  </w:style>
  <w:style w:type="character" w:styleId="WW8Num1569z0">
    <w:name w:val="WW8Num1569z0"/>
    <w:qFormat/>
    <w:rPr>
      <w:rFonts w:ascii="Times New Roman" w:hAnsi="Times New Roman" w:cs="Times New Roman"/>
      <w:b/>
      <w:i w:val="false"/>
      <w:sz w:val="24"/>
      <w:szCs w:val="24"/>
      <w:u w:val="none"/>
    </w:rPr>
  </w:style>
  <w:style w:type="character" w:styleId="WW8Num1569z1">
    <w:name w:val="WW8Num1569z1"/>
    <w:qFormat/>
    <w:rPr>
      <w:rFonts w:ascii="Times New Roman" w:hAnsi="Times New Roman" w:cs="Times New Roman"/>
      <w:b/>
      <w:i w:val="false"/>
      <w:sz w:val="24"/>
      <w:szCs w:val="24"/>
    </w:rPr>
  </w:style>
  <w:style w:type="character" w:styleId="WW8Num1569z4">
    <w:name w:val="WW8Num1569z4"/>
    <w:qFormat/>
    <w:rPr>
      <w:rFonts w:ascii="Times New Roman" w:hAnsi="Times New Roman" w:cs="Times New Roman"/>
      <w:b w:val="false"/>
      <w:i w:val="false"/>
      <w:sz w:val="24"/>
      <w:szCs w:val="24"/>
    </w:rPr>
  </w:style>
  <w:style w:type="character" w:styleId="WW8Num1571z0">
    <w:name w:val="WW8Num1571z0"/>
    <w:qFormat/>
    <w:rPr>
      <w:rFonts w:ascii="Wingdings" w:hAnsi="Wingdings" w:cs="Wingdings"/>
      <w:sz w:val="16"/>
    </w:rPr>
  </w:style>
  <w:style w:type="character" w:styleId="WW8Num1572z0">
    <w:name w:val="WW8Num1572z0"/>
    <w:qFormat/>
    <w:rPr/>
  </w:style>
  <w:style w:type="character" w:styleId="WW8Num1573z0">
    <w:name w:val="WW8Num1573z0"/>
    <w:qFormat/>
    <w:rPr>
      <w:rFonts w:ascii="Century Schoolbook" w:hAnsi="Century Schoolbook" w:cs="Century Schoolbook"/>
      <w:b w:val="false"/>
      <w:i w:val="false"/>
      <w:sz w:val="22"/>
    </w:rPr>
  </w:style>
  <w:style w:type="character" w:styleId="WW8Num1574z0">
    <w:name w:val="WW8Num1574z0"/>
    <w:qFormat/>
    <w:rPr>
      <w:rFonts w:ascii="Symbol" w:hAnsi="Symbol" w:cs="Symbol"/>
    </w:rPr>
  </w:style>
  <w:style w:type="character" w:styleId="WW8Num1575z0">
    <w:name w:val="WW8Num1575z0"/>
    <w:qFormat/>
    <w:rPr/>
  </w:style>
  <w:style w:type="character" w:styleId="WW8Num1576z0">
    <w:name w:val="WW8Num1576z0"/>
    <w:qFormat/>
    <w:rPr>
      <w:rFonts w:ascii="Symbol" w:hAnsi="Symbol" w:cs="Symbol"/>
    </w:rPr>
  </w:style>
  <w:style w:type="character" w:styleId="WW8Num1577z0">
    <w:name w:val="WW8Num1577z0"/>
    <w:qFormat/>
    <w:rPr>
      <w:rFonts w:ascii="Courier New" w:hAnsi="Courier New" w:cs="Courier New"/>
    </w:rPr>
  </w:style>
  <w:style w:type="character" w:styleId="WW8Num1578z0">
    <w:name w:val="WW8Num1578z0"/>
    <w:qFormat/>
    <w:rPr>
      <w:rFonts w:ascii="Symbol" w:hAnsi="Symbol" w:cs="Symbol"/>
    </w:rPr>
  </w:style>
  <w:style w:type="character" w:styleId="WW8Num1579z0">
    <w:name w:val="WW8Num1579z0"/>
    <w:qFormat/>
    <w:rPr/>
  </w:style>
  <w:style w:type="character" w:styleId="WW8Num1580z0">
    <w:name w:val="WW8Num1580z0"/>
    <w:qFormat/>
    <w:rPr>
      <w:rFonts w:ascii="Wingdings" w:hAnsi="Wingdings" w:cs="Wingdings"/>
      <w:sz w:val="16"/>
    </w:rPr>
  </w:style>
  <w:style w:type="character" w:styleId="WW8Num1583z0">
    <w:name w:val="WW8Num1583z0"/>
    <w:qFormat/>
    <w:rPr/>
  </w:style>
  <w:style w:type="character" w:styleId="WW8Num1584z0">
    <w:name w:val="WW8Num1584z0"/>
    <w:qFormat/>
    <w:rPr>
      <w:rFonts w:ascii="Symbol" w:hAnsi="Symbol" w:cs="Symbol"/>
    </w:rPr>
  </w:style>
  <w:style w:type="character" w:styleId="WW8Num1586z0">
    <w:name w:val="WW8Num1586z0"/>
    <w:qFormat/>
    <w:rPr>
      <w:rFonts w:ascii="Symbol" w:hAnsi="Symbol" w:cs="Symbol"/>
    </w:rPr>
  </w:style>
  <w:style w:type="character" w:styleId="WW8Num1586z1">
    <w:name w:val="WW8Num1586z1"/>
    <w:qFormat/>
    <w:rPr>
      <w:rFonts w:ascii="Times New Roman" w:hAnsi="Times New Roman" w:eastAsia="Times New Roman" w:cs="Times New Roman"/>
    </w:rPr>
  </w:style>
  <w:style w:type="character" w:styleId="WW8Num1586z4">
    <w:name w:val="WW8Num1586z4"/>
    <w:qFormat/>
    <w:rPr>
      <w:rFonts w:ascii="Courier New" w:hAnsi="Courier New" w:cs="Courier New"/>
    </w:rPr>
  </w:style>
  <w:style w:type="character" w:styleId="WW8Num1586z5">
    <w:name w:val="WW8Num1586z5"/>
    <w:qFormat/>
    <w:rPr>
      <w:rFonts w:ascii="Wingdings" w:hAnsi="Wingdings" w:cs="Wingdings"/>
    </w:rPr>
  </w:style>
  <w:style w:type="character" w:styleId="WW8Num1587z0">
    <w:name w:val="WW8Num1587z0"/>
    <w:qFormat/>
    <w:rPr/>
  </w:style>
  <w:style w:type="character" w:styleId="WW8Num1588z0">
    <w:name w:val="WW8Num1588z0"/>
    <w:qFormat/>
    <w:rPr/>
  </w:style>
  <w:style w:type="character" w:styleId="WW8Num1589z0">
    <w:name w:val="WW8Num1589z0"/>
    <w:qFormat/>
    <w:rPr>
      <w:rFonts w:ascii="Symbol" w:hAnsi="Symbol" w:cs="Symbol"/>
    </w:rPr>
  </w:style>
  <w:style w:type="character" w:styleId="WW8Num1590z0">
    <w:name w:val="WW8Num1590z0"/>
    <w:qFormat/>
    <w:rPr>
      <w:rFonts w:ascii="Symbol" w:hAnsi="Symbol" w:cs="Symbol"/>
    </w:rPr>
  </w:style>
  <w:style w:type="character" w:styleId="WW8Num1590z1">
    <w:name w:val="WW8Num1590z1"/>
    <w:qFormat/>
    <w:rPr>
      <w:rFonts w:ascii="Courier New" w:hAnsi="Courier New" w:cs="Courier New"/>
    </w:rPr>
  </w:style>
  <w:style w:type="character" w:styleId="WW8Num1590z2">
    <w:name w:val="WW8Num1590z2"/>
    <w:qFormat/>
    <w:rPr>
      <w:rFonts w:ascii="Wingdings" w:hAnsi="Wingdings" w:cs="Wingdings"/>
    </w:rPr>
  </w:style>
  <w:style w:type="character" w:styleId="WW8Num1591z0">
    <w:name w:val="WW8Num1591z0"/>
    <w:qFormat/>
    <w:rPr>
      <w:rFonts w:ascii="Symbol" w:hAnsi="Symbol" w:cs="Symbol"/>
    </w:rPr>
  </w:style>
  <w:style w:type="character" w:styleId="WW8Num1592z0">
    <w:name w:val="WW8Num1592z0"/>
    <w:qFormat/>
    <w:rPr/>
  </w:style>
  <w:style w:type="character" w:styleId="WW8Num1593z0">
    <w:name w:val="WW8Num1593z0"/>
    <w:qFormat/>
    <w:rPr>
      <w:rFonts w:ascii="Symbol" w:hAnsi="Symbol" w:cs="Symbol"/>
    </w:rPr>
  </w:style>
  <w:style w:type="character" w:styleId="WW8NumSt14z0">
    <w:name w:val="WW8NumSt14z0"/>
    <w:qFormat/>
    <w:rPr>
      <w:rFonts w:ascii="Symbol" w:hAnsi="Symbol" w:cs="Symbol"/>
    </w:rPr>
  </w:style>
  <w:style w:type="character" w:styleId="WW8NumSt135z0">
    <w:name w:val="WW8NumSt135z0"/>
    <w:qFormat/>
    <w:rPr>
      <w:rFonts w:ascii="Symbol" w:hAnsi="Symbol" w:cs="Symbol"/>
    </w:rPr>
  </w:style>
  <w:style w:type="character" w:styleId="WW8NumSt137z0">
    <w:name w:val="WW8NumSt137z0"/>
    <w:qFormat/>
    <w:rPr>
      <w:rFonts w:ascii="Symbol" w:hAnsi="Symbol" w:cs="Symbol"/>
    </w:rPr>
  </w:style>
  <w:style w:type="character" w:styleId="WW8NumSt151z0">
    <w:name w:val="WW8NumSt151z0"/>
    <w:qFormat/>
    <w:rPr>
      <w:rFonts w:ascii="Symbol" w:hAnsi="Symbol" w:cs="Symbol"/>
    </w:rPr>
  </w:style>
  <w:style w:type="character" w:styleId="WW8NumSt153z0">
    <w:name w:val="WW8NumSt153z0"/>
    <w:qFormat/>
    <w:rPr>
      <w:rFonts w:ascii="Symbol" w:hAnsi="Symbol" w:cs="Symbol"/>
    </w:rPr>
  </w:style>
  <w:style w:type="character" w:styleId="WW8NumSt157z0">
    <w:name w:val="WW8NumSt157z0"/>
    <w:qFormat/>
    <w:rPr>
      <w:rFonts w:ascii="Symbol" w:hAnsi="Symbol" w:cs="Symbol"/>
    </w:rPr>
  </w:style>
  <w:style w:type="character" w:styleId="WW8NumSt618z0">
    <w:name w:val="WW8NumSt618z0"/>
    <w:qFormat/>
    <w:rPr>
      <w:rFonts w:ascii="Symbol" w:hAnsi="Symbol" w:cs="Symbol"/>
    </w:rPr>
  </w:style>
  <w:style w:type="character" w:styleId="WW8NumSt629z0">
    <w:name w:val="WW8NumSt629z0"/>
    <w:qFormat/>
    <w:rPr>
      <w:rFonts w:ascii="Monotype Sorts" w:hAnsi="Monotype Sorts" w:cs="Monotype Sorts"/>
    </w:rPr>
  </w:style>
  <w:style w:type="character" w:styleId="WW8NumSt1124z0">
    <w:name w:val="WW8NumSt1124z0"/>
    <w:qFormat/>
    <w:rPr>
      <w:rFonts w:ascii="Symbol" w:hAnsi="Symbol" w:cs="Symbol"/>
    </w:rPr>
  </w:style>
  <w:style w:type="character" w:styleId="WW8NumSt1218z0">
    <w:name w:val="WW8NumSt1218z0"/>
    <w:qFormat/>
    <w:rPr>
      <w:rFonts w:ascii="Times New Roman" w:hAnsi="Times New Roman" w:cs="Times New Roman"/>
      <w:sz w:val="40"/>
    </w:rPr>
  </w:style>
  <w:style w:type="character" w:styleId="WW8NumSt1219z0">
    <w:name w:val="WW8NumSt1219z0"/>
    <w:qFormat/>
    <w:rPr>
      <w:rFonts w:ascii="Times New Roman" w:hAnsi="Times New Roman" w:cs="Times New Roman"/>
      <w:sz w:val="64"/>
    </w:rPr>
  </w:style>
  <w:style w:type="character" w:styleId="WW8NumSt1299z0">
    <w:name w:val="WW8NumSt1299z0"/>
    <w:qFormat/>
    <w:rPr>
      <w:rFonts w:ascii="Times New Roman" w:hAnsi="Times New Roman" w:cs="Times New Roman"/>
    </w:rPr>
  </w:style>
  <w:style w:type="character" w:styleId="WW8NumSt1397z0">
    <w:name w:val="WW8NumSt1397z0"/>
    <w:qFormat/>
    <w:rPr>
      <w:rFonts w:ascii="Times New Roman" w:hAnsi="Times New Roman" w:cs="Times New Roman"/>
      <w:sz w:val="32"/>
    </w:rPr>
  </w:style>
  <w:style w:type="character" w:styleId="WW8NumSt1512z0">
    <w:name w:val="WW8NumSt1512z0"/>
    <w:qFormat/>
    <w:rPr>
      <w:rFonts w:ascii="Symbol" w:hAnsi="Symbol" w:cs="Symbol"/>
      <w:sz w:val="16"/>
    </w:rPr>
  </w:style>
  <w:style w:type="character" w:styleId="WW8NumSt1514z0">
    <w:name w:val="WW8NumSt1514z0"/>
    <w:qFormat/>
    <w:rPr>
      <w:rFonts w:ascii="Symbol" w:hAnsi="Symbol" w:cs="Symbol"/>
      <w:sz w:val="16"/>
    </w:rPr>
  </w:style>
  <w:style w:type="character" w:styleId="WW8NumSt1628z0">
    <w:name w:val="WW8NumSt1628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pbllt">
    <w:name w:val="pbllt_"/>
    <w:qFormat/>
    <w:rPr>
      <w:rFonts w:ascii="Symbol" w:hAnsi="Symbol" w:cs="Symbol"/>
      <w:sz w:val="20"/>
    </w:rPr>
  </w:style>
  <w:style w:type="character" w:styleId="emailstyle15">
    <w:name w:val="emailstyle15"/>
    <w:basedOn w:val="DefaultParagraphFont"/>
    <w:qFormat/>
    <w:rPr>
      <w:rFonts w:ascii="Arial" w:hAnsi="Arial" w:cs="Arial"/>
      <w:color w:val="000000"/>
      <w:sz w:val="20"/>
    </w:rPr>
  </w:style>
  <w:style w:type="character" w:styleId="Hypertext1">
    <w:name w:val="Hypertext1"/>
    <w:qFormat/>
    <w:rPr>
      <w:b/>
      <w:color w:val="0000FF"/>
      <w:sz w:val="20"/>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0" w:after="240"/>
      <w:jc w:val="center"/>
    </w:pPr>
    <w:rPr>
      <w:b/>
      <w:caps/>
      <w:kern w:val="2"/>
      <w:sz w:val="36"/>
    </w:rPr>
  </w:style>
  <w:style w:type="paragraph" w:styleId="BodyText">
    <w:name w:val="Body Text"/>
    <w:basedOn w:val="Normal"/>
    <w:pPr/>
    <w:rPr>
      <w:i/>
    </w:rPr>
  </w:style>
  <w:style w:type="paragraph" w:styleId="List">
    <w:name w:val="List"/>
    <w:basedOn w:val="Normal"/>
    <w:pPr>
      <w:tabs>
        <w:tab w:val="clear" w:pos="720"/>
        <w:tab w:val="left" w:pos="360" w:leader="none"/>
      </w:tabs>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05textparagraph">
    <w:name w:val="05 text paragraph"/>
    <w:basedOn w:val="Normal"/>
    <w:qFormat/>
    <w:pPr>
      <w:spacing w:before="0" w:after="120"/>
    </w:pPr>
    <w:rPr/>
  </w:style>
  <w:style w:type="paragraph" w:styleId="06notes">
    <w:name w:val="06 notes"/>
    <w:basedOn w:val="Normal"/>
    <w:qFormat/>
    <w:pPr>
      <w:pBdr>
        <w:top w:val="single" w:sz="4" w:space="1" w:color="000000"/>
        <w:left w:val="single" w:sz="4" w:space="4" w:color="000000"/>
        <w:bottom w:val="single" w:sz="4" w:space="1" w:color="000000"/>
        <w:right w:val="single" w:sz="4" w:space="4" w:color="000000"/>
      </w:pBdr>
      <w:shd w:fill="E0E0E0" w:val="clear"/>
      <w:spacing w:before="120" w:after="120"/>
      <w:ind w:hanging="0" w:start="720" w:end="720"/>
    </w:pPr>
    <w:rPr/>
  </w:style>
  <w:style w:type="paragraph" w:styleId="11terms">
    <w:name w:val="11 terms"/>
    <w:basedOn w:val="Normal"/>
    <w:qFormat/>
    <w:pPr>
      <w:spacing w:before="240" w:after="0"/>
      <w:ind w:hanging="0" w:start="720" w:end="0"/>
    </w:pPr>
    <w:rPr>
      <w:b/>
    </w:rPr>
  </w:style>
  <w:style w:type="paragraph" w:styleId="12termdef">
    <w:name w:val="12 term def"/>
    <w:basedOn w:val="11terms"/>
    <w:qFormat/>
    <w:pPr>
      <w:spacing w:before="0" w:after="0"/>
    </w:pPr>
    <w:rPr>
      <w:b w:val="false"/>
    </w:rPr>
  </w:style>
  <w:style w:type="paragraph" w:styleId="13termslevel2">
    <w:name w:val="13 terms level 2"/>
    <w:basedOn w:val="Normal"/>
    <w:qFormat/>
    <w:pPr>
      <w:ind w:hanging="0" w:start="1440" w:end="0"/>
    </w:pPr>
    <w:rPr>
      <w:b/>
    </w:rPr>
  </w:style>
  <w:style w:type="paragraph" w:styleId="14termdeflevel2">
    <w:name w:val="14 term def level 2"/>
    <w:basedOn w:val="13termslevel2"/>
    <w:qFormat/>
    <w:pPr/>
    <w:rPr>
      <w:b w:val="false"/>
    </w:rPr>
  </w:style>
  <w:style w:type="paragraph" w:styleId="15acronyms">
    <w:name w:val="15 acronyms"/>
    <w:basedOn w:val="Normal"/>
    <w:qFormat/>
    <w:pPr>
      <w:tabs>
        <w:tab w:val="clear" w:pos="720"/>
        <w:tab w:val="left" w:pos="2160" w:leader="none"/>
      </w:tabs>
      <w:ind w:hanging="0" w:start="720" w:end="0"/>
    </w:pPr>
    <w:rPr/>
  </w:style>
  <w:style w:type="paragraph" w:styleId="16listlevel1">
    <w:name w:val="16 list level 1"/>
    <w:basedOn w:val="Normal"/>
    <w:qFormat/>
    <w:pPr>
      <w:numPr>
        <w:ilvl w:val="0"/>
        <w:numId w:val="11"/>
      </w:numPr>
      <w:spacing w:before="0" w:after="120"/>
    </w:pPr>
    <w:rPr/>
  </w:style>
  <w:style w:type="paragraph" w:styleId="17">
    <w:name w:val="17"/>
    <w:basedOn w:val="Normal"/>
    <w:qFormat/>
    <w:pPr/>
    <w:rPr/>
  </w:style>
  <w:style w:type="paragraph" w:styleId="AListL2">
    <w:name w:val="AListL2"/>
    <w:basedOn w:val="Normal"/>
    <w:next w:val="BodyText"/>
    <w:qFormat/>
    <w:pPr>
      <w:numPr>
        <w:ilvl w:val="0"/>
        <w:numId w:val="37"/>
      </w:numPr>
      <w:tabs>
        <w:tab w:val="clear" w:pos="720"/>
        <w:tab w:val="left" w:pos="1440" w:leader="none"/>
      </w:tabs>
      <w:spacing w:before="240" w:after="120"/>
      <w:ind w:hanging="1440" w:start="1440" w:end="0"/>
    </w:pPr>
    <w:rPr>
      <w:b/>
    </w:rPr>
  </w:style>
  <w:style w:type="paragraph" w:styleId="appdxhd1">
    <w:name w:val="appdxhd1"/>
    <w:basedOn w:val="Normal"/>
    <w:qFormat/>
    <w:pPr>
      <w:tabs>
        <w:tab w:val="clear" w:pos="720"/>
        <w:tab w:val="left" w:pos="1440" w:leader="none"/>
      </w:tabs>
      <w:spacing w:before="240" w:after="120"/>
      <w:ind w:hanging="1440" w:start="1440" w:end="0"/>
    </w:pPr>
    <w:rPr>
      <w:b/>
      <w:caps/>
      <w:sz w:val="28"/>
    </w:rPr>
  </w:style>
  <w:style w:type="paragraph" w:styleId="appdxhd2">
    <w:name w:val="appdxhd2"/>
    <w:basedOn w:val="appdxhd1"/>
    <w:qFormat/>
    <w:pPr/>
    <w:rPr>
      <w:caps w:val="false"/>
      <w:smallCaps w:val="false"/>
    </w:rPr>
  </w:style>
  <w:style w:type="paragraph" w:styleId="appdxhd3">
    <w:name w:val="appdxhd3"/>
    <w:basedOn w:val="Heading5"/>
    <w:qFormat/>
    <w:pPr>
      <w:numPr>
        <w:ilvl w:val="0"/>
        <w:numId w:val="38"/>
      </w:numPr>
      <w:tabs>
        <w:tab w:val="clear" w:pos="720"/>
      </w:tabs>
      <w:ind w:hanging="0" w:start="360" w:end="0"/>
      <w:outlineLvl w:val="9"/>
    </w:pPr>
    <w:rPr>
      <w:sz w:val="20"/>
    </w:rPr>
  </w:style>
  <w:style w:type="paragraph" w:styleId="BListL1">
    <w:name w:val="BList_L1"/>
    <w:basedOn w:val="Normal"/>
    <w:next w:val="BodyText"/>
    <w:qFormat/>
    <w:pPr>
      <w:numPr>
        <w:ilvl w:val="0"/>
        <w:numId w:val="39"/>
      </w:numPr>
      <w:tabs>
        <w:tab w:val="clear" w:pos="720"/>
        <w:tab w:val="left" w:pos="1440" w:leader="none"/>
      </w:tabs>
      <w:spacing w:before="120" w:after="240"/>
      <w:ind w:hanging="360" w:start="1800" w:end="0"/>
    </w:pPr>
    <w:rPr>
      <w:rFonts w:ascii="Arial" w:hAnsi="Arial" w:cs="Arial"/>
      <w:b/>
    </w:rPr>
  </w:style>
  <w:style w:type="paragraph" w:styleId="BodyText2">
    <w:name w:val="Body Text 2"/>
    <w:basedOn w:val="Normal"/>
    <w:qFormat/>
    <w:pPr>
      <w:spacing w:before="120" w:after="60"/>
    </w:pPr>
    <w:rPr/>
  </w:style>
  <w:style w:type="paragraph" w:styleId="BodyText21">
    <w:name w:val="Body Text 21"/>
    <w:basedOn w:val="Normal"/>
    <w:qFormat/>
    <w:pPr>
      <w:spacing w:before="0" w:after="120"/>
      <w:ind w:hanging="0" w:start="1440" w:end="0"/>
    </w:pPr>
    <w:rPr/>
  </w:style>
  <w:style w:type="paragraph" w:styleId="BodyText3">
    <w:name w:val="Body Text 3"/>
    <w:basedOn w:val="Normal"/>
    <w:next w:val="Normal"/>
    <w:qFormat/>
    <w:pPr>
      <w:spacing w:before="120" w:after="60"/>
      <w:ind w:hanging="0" w:start="1800" w:end="0"/>
    </w:pPr>
    <w:rPr/>
  </w:style>
  <w:style w:type="paragraph" w:styleId="BodyTextIndent">
    <w:name w:val="Body Text Indent"/>
    <w:basedOn w:val="Normal"/>
    <w:pPr>
      <w:ind w:hanging="0" w:start="360" w:end="0"/>
    </w:pPr>
    <w:rPr>
      <w:i/>
    </w:rPr>
  </w:style>
  <w:style w:type="paragraph" w:styleId="BodyTextIndent2">
    <w:name w:val="Body Text Indent 2"/>
    <w:basedOn w:val="Normal"/>
    <w:qFormat/>
    <w:pPr/>
    <w:rPr/>
  </w:style>
  <w:style w:type="paragraph" w:styleId="bullet">
    <w:name w:val="bullet"/>
    <w:basedOn w:val="Normal"/>
    <w:qFormat/>
    <w:pPr>
      <w:numPr>
        <w:ilvl w:val="0"/>
        <w:numId w:val="4"/>
      </w:numPr>
      <w:tabs>
        <w:tab w:val="clear" w:pos="720"/>
      </w:tabs>
      <w:ind w:hanging="720" w:start="720" w:end="0"/>
    </w:pPr>
    <w:rPr/>
  </w:style>
  <w:style w:type="paragraph" w:styleId="Bullet1">
    <w:name w:val="Bullet1"/>
    <w:basedOn w:val="05textparagraph"/>
    <w:qFormat/>
    <w:pPr>
      <w:numPr>
        <w:ilvl w:val="0"/>
        <w:numId w:val="34"/>
      </w:numPr>
      <w:tabs>
        <w:tab w:val="clear" w:pos="720"/>
        <w:tab w:val="left" w:pos="1080" w:leader="none"/>
      </w:tabs>
      <w:spacing w:before="60" w:after="120"/>
      <w:ind w:hanging="0" w:start="1080" w:end="0"/>
    </w:pPr>
    <w:rPr/>
  </w:style>
  <w:style w:type="paragraph" w:styleId="bulletitalicsecondorder">
    <w:name w:val="bullet italic second order"/>
    <w:basedOn w:val="Normal"/>
    <w:qFormat/>
    <w:pPr>
      <w:numPr>
        <w:ilvl w:val="0"/>
        <w:numId w:val="3"/>
      </w:numPr>
      <w:tabs>
        <w:tab w:val="clear" w:pos="720"/>
      </w:tabs>
      <w:ind w:hanging="720" w:start="1440" w:end="0"/>
    </w:pPr>
    <w:rPr>
      <w:i/>
    </w:rPr>
  </w:style>
  <w:style w:type="paragraph" w:styleId="CListL1">
    <w:name w:val="CList_L1"/>
    <w:basedOn w:val="Normal"/>
    <w:next w:val="BodyText"/>
    <w:qFormat/>
    <w:pPr>
      <w:tabs>
        <w:tab w:val="clear" w:pos="720"/>
        <w:tab w:val="left" w:pos="1440" w:leader="none"/>
      </w:tabs>
      <w:spacing w:before="120" w:after="240"/>
      <w:ind w:hanging="1440" w:start="1440" w:end="0"/>
    </w:pPr>
    <w:rPr>
      <w:b/>
    </w:rPr>
  </w:style>
  <w:style w:type="paragraph" w:styleId="CommentText">
    <w:name w:val="Comment Text"/>
    <w:basedOn w:val="Normal"/>
    <w:qFormat/>
    <w:pPr>
      <w:spacing w:before="0" w:after="240"/>
    </w:pPr>
    <w:rPr/>
  </w:style>
  <w:style w:type="paragraph" w:styleId="Cover">
    <w:name w:val="Cover"/>
    <w:basedOn w:val="Normal"/>
    <w:qFormat/>
    <w:pPr>
      <w:spacing w:before="3600" w:after="0"/>
      <w:jc w:val="center"/>
    </w:pPr>
    <w:rPr>
      <w:b/>
      <w:sz w:val="48"/>
    </w:rPr>
  </w:style>
  <w:style w:type="paragraph" w:styleId="DListL1">
    <w:name w:val="DList_L1"/>
    <w:basedOn w:val="Normal"/>
    <w:next w:val="BodyText"/>
    <w:qFormat/>
    <w:pPr>
      <w:tabs>
        <w:tab w:val="clear" w:pos="720"/>
        <w:tab w:val="left" w:pos="1440" w:leader="none"/>
      </w:tabs>
      <w:spacing w:before="240" w:after="120"/>
      <w:ind w:hanging="1440" w:start="1440" w:end="0"/>
    </w:pPr>
    <w:rPr>
      <w:b/>
    </w:rPr>
  </w:style>
  <w:style w:type="paragraph" w:styleId="DListL4">
    <w:name w:val="DList_L4"/>
    <w:basedOn w:val="Heading5"/>
    <w:next w:val="BodyText"/>
    <w:qFormat/>
    <w:pPr>
      <w:numPr>
        <w:ilvl w:val="0"/>
        <w:numId w:val="0"/>
      </w:numPr>
      <w:ind w:hanging="0" w:start="0" w:end="0"/>
      <w:outlineLvl w:val="9"/>
    </w:pPr>
    <w:rPr>
      <w:b w:val="false"/>
      <w:sz w:val="20"/>
    </w:rPr>
  </w:style>
  <w:style w:type="paragraph" w:styleId="DListL5">
    <w:name w:val="DList_L5"/>
    <w:basedOn w:val="Heading7"/>
    <w:next w:val="BodyText"/>
    <w:qFormat/>
    <w:pPr>
      <w:numPr>
        <w:ilvl w:val="0"/>
        <w:numId w:val="0"/>
      </w:numPr>
      <w:tabs>
        <w:tab w:val="clear" w:pos="720"/>
        <w:tab w:val="left" w:pos="360" w:leader="none"/>
        <w:tab w:val="left" w:pos="1080" w:leader="none"/>
        <w:tab w:val="left" w:pos="2160" w:leader="none"/>
        <w:tab w:val="left" w:pos="2880" w:leader="none"/>
      </w:tabs>
      <w:spacing w:before="0" w:after="120"/>
      <w:ind w:hanging="0" w:start="0" w:end="0"/>
      <w:outlineLvl w:val="9"/>
    </w:pPr>
    <w:rPr/>
  </w:style>
  <w:style w:type="paragraph" w:styleId="DocumentHeadingText">
    <w:name w:val="Document Heading Text"/>
    <w:basedOn w:val="Normal"/>
    <w:next w:val="Normal"/>
    <w:qFormat/>
    <w:pPr>
      <w:keepNext w:val="true"/>
      <w:keepLines/>
      <w:jc w:val="both"/>
    </w:pPr>
    <w:rPr>
      <w:rFonts w:ascii="Courier New" w:hAnsi="Courier New" w:cs="Courier New"/>
      <w:b/>
      <w:caps/>
    </w:rPr>
  </w:style>
  <w:style w:type="paragraph" w:styleId="DocumentHistory">
    <w:name w:val="Document History"/>
    <w:basedOn w:val="Normal"/>
    <w:next w:val="Normal"/>
    <w:qFormat/>
    <w:pPr>
      <w:tabs>
        <w:tab w:val="clear" w:pos="720"/>
        <w:tab w:val="right" w:pos="9180" w:leader="none"/>
      </w:tabs>
      <w:spacing w:lineRule="auto" w:line="480"/>
      <w:ind w:hanging="0" w:start="1080" w:end="0"/>
      <w:jc w:val="center"/>
    </w:pPr>
    <w:rPr>
      <w:rFonts w:ascii="Courier New" w:hAnsi="Courier New" w:cs="Courier New"/>
      <w:b/>
      <w:caps/>
      <w:u w:val="single"/>
    </w:rPr>
  </w:style>
  <w:style w:type="paragraph" w:styleId="DocumentMap">
    <w:name w:val="Document Map"/>
    <w:basedOn w:val="Normal"/>
    <w:qFormat/>
    <w:pPr>
      <w:shd w:fill="000080" w:val="clear"/>
    </w:pPr>
    <w:rPr>
      <w:rFonts w:ascii="Tahoma" w:hAnsi="Tahoma" w:cs="Tahoma"/>
    </w:rPr>
  </w:style>
  <w:style w:type="paragraph" w:styleId="EListL1">
    <w:name w:val="EList_L1"/>
    <w:basedOn w:val="DListL1"/>
    <w:qFormat/>
    <w:pPr>
      <w:tabs>
        <w:tab w:val="left" w:pos="720" w:leader="none"/>
        <w:tab w:val="left" w:pos="1440" w:leader="none"/>
      </w:tabs>
      <w:ind w:hanging="720" w:start="720" w:end="0"/>
    </w:pPr>
    <w:rPr/>
  </w:style>
  <w:style w:type="paragraph" w:styleId="EnvelopeAddress">
    <w:name w:val="envelope address"/>
    <w:basedOn w:val="Normal"/>
    <w:pPr>
      <w:ind w:hanging="0" w:start="2880" w:end="0"/>
    </w:pPr>
    <w:rPr>
      <w:rFonts w:ascii="Benguiat" w:hAnsi="Benguiat" w:cs="Benguiat"/>
    </w:rPr>
  </w:style>
  <w:style w:type="paragraph" w:styleId="EnvelopeReturn">
    <w:name w:val="envelope return"/>
    <w:basedOn w:val="Normal"/>
    <w:pPr/>
    <w:rPr>
      <w:rFonts w:ascii="Benguiat" w:hAnsi="Benguiat" w:cs="Benguiat"/>
    </w:rPr>
  </w:style>
  <w:style w:type="paragraph" w:styleId="FListL2">
    <w:name w:val="FList_L2"/>
    <w:basedOn w:val="AListL2"/>
    <w:next w:val="BodyText"/>
    <w:qFormat/>
    <w:pPr>
      <w:keepNext w:val="true"/>
      <w:spacing w:before="120" w:after="120"/>
    </w:pPr>
    <w:rPr/>
  </w:style>
  <w:style w:type="paragraph" w:styleId="GListL1">
    <w:name w:val="GList_L1"/>
    <w:basedOn w:val="DListL1"/>
    <w:next w:val="BodyText"/>
    <w:qFormat/>
    <w:pPr>
      <w:ind w:hanging="360" w:start="360" w:end="0"/>
    </w:pPr>
    <w:rPr/>
  </w:style>
  <w:style w:type="paragraph" w:styleId="GListL2">
    <w:name w:val="GList_L2"/>
    <w:basedOn w:val="GListL1"/>
    <w:qFormat/>
    <w:pPr>
      <w:tabs>
        <w:tab w:val="left" w:pos="1440" w:leader="none"/>
        <w:tab w:val="left" w:pos="1800" w:leader="none"/>
      </w:tabs>
      <w:ind w:hanging="720" w:start="1440" w:end="0"/>
    </w:pPr>
    <w:rPr/>
  </w:style>
  <w:style w:type="paragraph" w:styleId="GListL3">
    <w:name w:val="GList_L3"/>
    <w:basedOn w:val="GListL2"/>
    <w:next w:val="Normal"/>
    <w:qFormat/>
    <w:pPr>
      <w:tabs>
        <w:tab w:val="left" w:pos="1440" w:leader="none"/>
        <w:tab w:val="left" w:pos="1800" w:leader="none"/>
        <w:tab w:val="left" w:pos="2160" w:leader="none"/>
      </w:tabs>
      <w:ind w:hanging="1440" w:start="2160" w:end="0"/>
    </w:pPr>
    <w:rPr/>
  </w:style>
  <w:style w:type="paragraph" w:styleId="GListL4">
    <w:name w:val="GList_L4"/>
    <w:basedOn w:val="GListL3"/>
    <w:qFormat/>
    <w:pPr>
      <w:keepNext w:val="true"/>
      <w:tabs>
        <w:tab w:val="left" w:pos="0" w:leader="none"/>
        <w:tab w:val="left" w:pos="1440" w:leader="none"/>
        <w:tab w:val="left" w:pos="1800" w:leader="none"/>
        <w:tab w:val="left" w:pos="2160" w:leader="none"/>
      </w:tabs>
      <w:spacing w:before="0" w:after="120"/>
      <w:ind w:hanging="360" w:start="360" w:end="0"/>
    </w:pPr>
    <w:rPr/>
  </w:style>
  <w:style w:type="paragraph" w:styleId="GListL5">
    <w:name w:val="GList_L5"/>
    <w:basedOn w:val="GListL4"/>
    <w:qFormat/>
    <w:pPr>
      <w:tabs>
        <w:tab w:val="clear" w:pos="0"/>
        <w:tab w:val="clear" w:pos="1440"/>
        <w:tab w:val="left" w:pos="1800" w:leader="none"/>
        <w:tab w:val="left" w:pos="2160" w:leader="none"/>
      </w:tabs>
      <w:ind w:hanging="0" w:start="0" w:end="0"/>
    </w:pPr>
    <w:rPr>
      <w:b w:val="false"/>
    </w:rPr>
  </w:style>
  <w:style w:type="paragraph" w:styleId="FListL5">
    <w:name w:val="FList_L5"/>
    <w:basedOn w:val="GListL5"/>
    <w:qFormat/>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before="120" w:after="120"/>
    </w:pPr>
    <w:rPr/>
  </w:style>
  <w:style w:type="paragraph" w:styleId="FootnoteText">
    <w:name w:val="footnote text"/>
    <w:basedOn w:val="Normal"/>
    <w:pPr/>
    <w:rPr>
      <w:sz w:val="20"/>
    </w:rPr>
  </w:style>
  <w:style w:type="paragraph" w:styleId="hd1ex2">
    <w:name w:val="hd1ex2"/>
    <w:basedOn w:val="Normal"/>
    <w:qFormat/>
    <w:pPr>
      <w:tabs>
        <w:tab w:val="left" w:pos="720" w:leader="none"/>
      </w:tabs>
      <w:spacing w:before="240" w:after="120"/>
      <w:ind w:hanging="720" w:start="720" w:end="0"/>
    </w:pPr>
    <w:rPr>
      <w:b/>
    </w:rPr>
  </w:style>
  <w:style w:type="paragraph" w:styleId="hd2ex2">
    <w:name w:val="hd2ex2"/>
    <w:basedOn w:val="hd1ex2"/>
    <w:qFormat/>
    <w:pPr>
      <w:tabs>
        <w:tab w:val="left" w:pos="720" w:leader="none"/>
        <w:tab w:val="left" w:pos="1800" w:leader="none"/>
      </w:tabs>
      <w:spacing w:before="120" w:after="120"/>
      <w:ind w:hanging="360" w:start="360" w:end="0"/>
    </w:pPr>
    <w:rPr>
      <w:b w:val="false"/>
    </w:rPr>
  </w:style>
  <w:style w:type="paragraph" w:styleId="hd3ex2">
    <w:name w:val="hd3ex2"/>
    <w:basedOn w:val="hd2ex2"/>
    <w:qFormat/>
    <w:pPr>
      <w:tabs>
        <w:tab w:val="left" w:pos="720" w:leader="none"/>
        <w:tab w:val="left" w:pos="1800" w:leader="none"/>
        <w:tab w:val="left" w:pos="2160" w:leader="none"/>
      </w:tabs>
      <w:ind w:hanging="720" w:start="2160" w:end="0"/>
    </w:pPr>
    <w:rPr/>
  </w:style>
  <w:style w:type="paragraph" w:styleId="hd5ex2">
    <w:name w:val="hd5ex2"/>
    <w:basedOn w:val="Normal"/>
    <w:qFormat/>
    <w:pPr>
      <w:tabs>
        <w:tab w:val="clear" w:pos="720"/>
        <w:tab w:val="left" w:pos="1440" w:leader="none"/>
        <w:tab w:val="left" w:pos="2160" w:leader="none"/>
      </w:tabs>
      <w:spacing w:before="0" w:after="120"/>
      <w:ind w:hanging="720" w:start="2160" w:end="0"/>
    </w:pPr>
    <w:rPr/>
  </w:style>
  <w:style w:type="paragraph" w:styleId="Header">
    <w:name w:val="header"/>
    <w:basedOn w:val="Normal"/>
    <w:pPr>
      <w:pBdr>
        <w:bottom w:val="single" w:sz="4" w:space="1" w:color="000000"/>
      </w:pBdr>
      <w:tabs>
        <w:tab w:val="clear" w:pos="720"/>
        <w:tab w:val="center" w:pos="4320" w:leader="none"/>
        <w:tab w:val="right" w:pos="8640" w:leader="none"/>
      </w:tabs>
      <w:jc w:val="end"/>
    </w:pPr>
    <w:rPr>
      <w:smallCaps/>
      <w:sz w:val="20"/>
    </w:rPr>
  </w:style>
  <w:style w:type="paragraph" w:styleId="Heading4Text">
    <w:name w:val="Heading 4 Text"/>
    <w:basedOn w:val="Normal"/>
    <w:next w:val="Normal"/>
    <w:qFormat/>
    <w:pPr>
      <w:ind w:hanging="0" w:start="1800" w:end="0"/>
    </w:pPr>
    <w:rPr/>
  </w:style>
  <w:style w:type="paragraph" w:styleId="Heading5Text">
    <w:name w:val="Heading 5 Text"/>
    <w:basedOn w:val="Normal"/>
    <w:qFormat/>
    <w:pPr>
      <w:spacing w:before="60" w:after="60"/>
      <w:ind w:hanging="0" w:start="1440" w:end="0"/>
    </w:pPr>
    <w:rPr/>
  </w:style>
  <w:style w:type="paragraph" w:styleId="Heading6Text">
    <w:name w:val="Heading 6 Text"/>
    <w:basedOn w:val="Normal"/>
    <w:qFormat/>
    <w:pPr>
      <w:spacing w:before="60" w:after="60"/>
      <w:ind w:hanging="0" w:start="2160" w:end="0"/>
    </w:pPr>
    <w:rPr/>
  </w:style>
  <w:style w:type="paragraph" w:styleId="HeadingText">
    <w:name w:val="Heading Text"/>
    <w:basedOn w:val="Normal"/>
    <w:qFormat/>
    <w:pPr>
      <w:spacing w:before="60" w:after="60"/>
    </w:pPr>
    <w:rPr/>
  </w:style>
  <w:style w:type="paragraph" w:styleId="Heading7Text">
    <w:name w:val="Heading 7 Text"/>
    <w:basedOn w:val="HeadingText"/>
    <w:qFormat/>
    <w:pPr>
      <w:tabs>
        <w:tab w:val="clear" w:pos="720"/>
        <w:tab w:val="right" w:pos="9360" w:leader="none"/>
      </w:tabs>
      <w:ind w:hanging="0" w:start="1440" w:end="0"/>
    </w:pPr>
    <w:rPr/>
  </w:style>
  <w:style w:type="paragraph" w:styleId="Heading8Text">
    <w:name w:val="Heading 8 Text"/>
    <w:basedOn w:val="HeadingText"/>
    <w:qFormat/>
    <w:pPr>
      <w:tabs>
        <w:tab w:val="clear" w:pos="720"/>
        <w:tab w:val="right" w:pos="9360" w:leader="none"/>
      </w:tabs>
      <w:ind w:hanging="0" w:start="1800" w:end="0"/>
    </w:pPr>
    <w:rPr/>
  </w:style>
  <w:style w:type="paragraph" w:styleId="HeadingFive">
    <w:name w:val="Heading Five"/>
    <w:basedOn w:val="Normal"/>
    <w:qFormat/>
    <w:pPr/>
    <w:rPr>
      <w:b/>
    </w:rPr>
  </w:style>
  <w:style w:type="paragraph" w:styleId="HeadingFour">
    <w:name w:val="Heading Four"/>
    <w:basedOn w:val="Normal"/>
    <w:qFormat/>
    <w:pPr/>
    <w:rPr/>
  </w:style>
  <w:style w:type="paragraph" w:styleId="HeadingOne">
    <w:name w:val="Heading One"/>
    <w:basedOn w:val="Normal"/>
    <w:qFormat/>
    <w:pPr/>
    <w:rPr>
      <w:b/>
      <w:caps/>
    </w:rPr>
  </w:style>
  <w:style w:type="paragraph" w:styleId="HeadingThree">
    <w:name w:val="Heading Three"/>
    <w:basedOn w:val="Normal"/>
    <w:qFormat/>
    <w:pPr/>
    <w:rPr>
      <w:b/>
    </w:rPr>
  </w:style>
  <w:style w:type="paragraph" w:styleId="HeadingTwo">
    <w:name w:val="Heading Two"/>
    <w:basedOn w:val="Normal"/>
    <w:qFormat/>
    <w:pPr/>
    <w:rPr/>
  </w:style>
  <w:style w:type="paragraph" w:styleId="list1">
    <w:name w:val="list1"/>
    <w:basedOn w:val="Heading2"/>
    <w:qFormat/>
    <w:pPr>
      <w:numPr>
        <w:ilvl w:val="0"/>
        <w:numId w:val="40"/>
      </w:numPr>
      <w:tabs>
        <w:tab w:val="left" w:pos="720" w:leader="none"/>
        <w:tab w:val="left" w:pos="1440" w:leader="none"/>
      </w:tabs>
      <w:spacing w:before="0" w:after="0"/>
      <w:ind w:hanging="720" w:start="3600" w:end="0"/>
      <w:outlineLvl w:val="9"/>
    </w:pPr>
    <w:rPr>
      <w:b w:val="false"/>
    </w:rPr>
  </w:style>
  <w:style w:type="paragraph" w:styleId="lista">
    <w:name w:val="list (a)"/>
    <w:basedOn w:val="Normal"/>
    <w:qFormat/>
    <w:pPr>
      <w:numPr>
        <w:ilvl w:val="0"/>
        <w:numId w:val="41"/>
      </w:numPr>
      <w:tabs>
        <w:tab w:val="clear" w:pos="720"/>
        <w:tab w:val="left" w:pos="1440" w:leader="none"/>
        <w:tab w:val="left" w:pos="2160" w:leader="none"/>
      </w:tabs>
      <w:spacing w:before="0" w:after="120"/>
      <w:ind w:hanging="720" w:start="1440" w:end="0"/>
    </w:pPr>
    <w:rPr/>
  </w:style>
  <w:style w:type="paragraph" w:styleId="ListBullet5">
    <w:name w:val="List Bullet 5"/>
    <w:basedOn w:val="Normal"/>
    <w:pPr>
      <w:spacing w:before="0" w:after="120"/>
      <w:ind w:hanging="720" w:start="2160" w:end="0"/>
    </w:pPr>
    <w:rPr>
      <w:rFonts w:ascii="Arial" w:hAnsi="Arial" w:cs="Arial"/>
    </w:rPr>
  </w:style>
  <w:style w:type="paragraph" w:styleId="MyBullet">
    <w:name w:val="MyBullet"/>
    <w:basedOn w:val="HeadingText"/>
    <w:qFormat/>
    <w:pPr>
      <w:numPr>
        <w:ilvl w:val="0"/>
        <w:numId w:val="36"/>
      </w:numPr>
    </w:pPr>
    <w:rPr/>
  </w:style>
  <w:style w:type="paragraph" w:styleId="notebold">
    <w:name w:val="notebold"/>
    <w:basedOn w:val="BodyText"/>
    <w:next w:val="BodyText"/>
    <w:qFormat/>
    <w:pPr/>
    <w:rPr>
      <w:b/>
    </w:rPr>
  </w:style>
  <w:style w:type="paragraph" w:styleId="ParaText">
    <w:name w:val="ParaText"/>
    <w:basedOn w:val="Normal"/>
    <w:qFormat/>
    <w:pPr>
      <w:spacing w:lineRule="auto" w:line="300" w:before="0" w:after="240"/>
      <w:jc w:val="both"/>
    </w:pPr>
    <w:rPr>
      <w:sz w:val="20"/>
    </w:rPr>
  </w:style>
  <w:style w:type="paragraph" w:styleId="Quick1">
    <w:name w:val="Quick 1."/>
    <w:qFormat/>
    <w:pPr>
      <w:widowControl w:val="false"/>
      <w:bidi w:val="0"/>
      <w:ind w:hanging="0" w:start="-1440" w:end="0"/>
    </w:pPr>
    <w:rPr>
      <w:rFonts w:ascii="Courier New" w:hAnsi="Courier New" w:eastAsia="Times New Roman" w:cs="Courier New"/>
      <w:color w:val="auto"/>
      <w:sz w:val="24"/>
      <w:szCs w:val="20"/>
      <w:lang w:val="en-US" w:bidi="ar-SA" w:eastAsia="zh-CN"/>
    </w:rPr>
  </w:style>
  <w:style w:type="paragraph" w:styleId="tablecontents">
    <w:name w:val="table contents"/>
    <w:basedOn w:val="Normal"/>
    <w:qFormat/>
    <w:pPr/>
    <w:rPr>
      <w:sz w:val="20"/>
    </w:rPr>
  </w:style>
  <w:style w:type="paragraph" w:styleId="tableheaders">
    <w:name w:val="table headers"/>
    <w:basedOn w:val="Normal"/>
    <w:qFormat/>
    <w:pPr/>
    <w:rPr>
      <w:b/>
      <w:sz w:val="20"/>
    </w:rPr>
  </w:style>
  <w:style w:type="paragraph" w:styleId="TOC1">
    <w:name w:val="toc 1"/>
    <w:basedOn w:val="Normal"/>
    <w:next w:val="Normal"/>
    <w:pPr>
      <w:tabs>
        <w:tab w:val="left" w:pos="720" w:leader="none"/>
        <w:tab w:val="right" w:pos="9270" w:leader="dot"/>
      </w:tabs>
    </w:pPr>
    <w:rPr>
      <w:i/>
      <w:sz w:val="20"/>
      <w:lang w:val="en-CA" w:eastAsia="en-CA"/>
    </w:rPr>
  </w:style>
  <w:style w:type="paragraph" w:styleId="TOC2">
    <w:name w:val="toc 2"/>
    <w:basedOn w:val="Normal"/>
    <w:next w:val="Normal"/>
    <w:pPr>
      <w:tabs>
        <w:tab w:val="clear" w:pos="720"/>
        <w:tab w:val="left" w:pos="960" w:leader="none"/>
        <w:tab w:val="left" w:pos="1440" w:leader="none"/>
        <w:tab w:val="right" w:pos="9270" w:leader="none"/>
      </w:tabs>
      <w:ind w:hanging="0" w:start="720" w:end="0"/>
    </w:pPr>
    <w:rPr>
      <w:sz w:val="20"/>
      <w:lang w:val="en-CA" w:eastAsia="en-CA"/>
    </w:rPr>
  </w:style>
  <w:style w:type="paragraph" w:styleId="TOC3">
    <w:name w:val="toc 3"/>
    <w:basedOn w:val="Normal"/>
    <w:next w:val="Normal"/>
    <w:pPr>
      <w:ind w:hanging="0" w:start="720" w:end="0"/>
    </w:pPr>
    <w:rPr>
      <w:sz w:val="20"/>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where">
    <w:name w:val="where"/>
    <w:basedOn w:val="Normal"/>
    <w:qFormat/>
    <w:pPr>
      <w:spacing w:before="60" w:after="60"/>
      <w:ind w:hanging="994" w:start="1714" w:end="0"/>
    </w:pPr>
    <w:rPr/>
  </w:style>
  <w:style w:type="paragraph" w:styleId="bulletitalic">
    <w:name w:val="bullet italic"/>
    <w:basedOn w:val="bullet"/>
    <w:qFormat/>
    <w:pPr>
      <w:numPr>
        <w:ilvl w:val="0"/>
        <w:numId w:val="32"/>
      </w:numPr>
    </w:pPr>
    <w:rPr>
      <w:i/>
    </w:rPr>
  </w:style>
  <w:style w:type="paragraph" w:styleId="definitionhead">
    <w:name w:val="definition head"/>
    <w:basedOn w:val="BodyText"/>
    <w:qFormat/>
    <w:pPr>
      <w:keepNext w:val="true"/>
      <w:spacing w:before="240" w:after="0"/>
    </w:pPr>
    <w:rPr>
      <w:b/>
    </w:rPr>
  </w:style>
  <w:style w:type="paragraph" w:styleId="definitiontext">
    <w:name w:val="definition text"/>
    <w:basedOn w:val="definitionhead"/>
    <w:qFormat/>
    <w:pPr>
      <w:spacing w:before="0" w:after="0"/>
      <w:ind w:hanging="0" w:start="720" w:end="0"/>
    </w:pPr>
    <w:rPr>
      <w:b w:val="false"/>
    </w:rPr>
  </w:style>
  <w:style w:type="paragraph" w:styleId="ListBullet">
    <w:name w:val="List Bullet"/>
    <w:basedOn w:val="Normal"/>
    <w:qFormat/>
    <w:pPr>
      <w:numPr>
        <w:ilvl w:val="0"/>
        <w:numId w:val="21"/>
      </w:numPr>
      <w:tabs>
        <w:tab w:val="clear" w:pos="720"/>
        <w:tab w:val="left" w:pos="1080" w:leader="none"/>
      </w:tabs>
      <w:ind w:hanging="360" w:start="1080" w:end="0"/>
    </w:pPr>
    <w:rPr>
      <w:i/>
    </w:rPr>
  </w:style>
  <w:style w:type="paragraph" w:styleId="listlevel1">
    <w:name w:val="list level 1"/>
    <w:basedOn w:val="Normal"/>
    <w:qFormat/>
    <w:pPr>
      <w:numPr>
        <w:ilvl w:val="0"/>
        <w:numId w:val="25"/>
      </w:numPr>
    </w:pPr>
    <w:rPr/>
  </w:style>
  <w:style w:type="paragraph" w:styleId="1">
    <w:name w:val="1"/>
    <w:basedOn w:val="Heading1"/>
    <w:qFormat/>
    <w:pPr>
      <w:numPr>
        <w:ilvl w:val="0"/>
        <w:numId w:val="0"/>
      </w:numPr>
      <w:spacing w:before="0" w:after="240"/>
      <w:ind w:hanging="0" w:start="0" w:end="0"/>
    </w:pPr>
    <w:rPr/>
  </w:style>
  <w:style w:type="paragraph" w:styleId="bulletsecondorder">
    <w:name w:val="bullet second order"/>
    <w:basedOn w:val="bullet"/>
    <w:qFormat/>
    <w:pPr>
      <w:numPr>
        <w:ilvl w:val="0"/>
        <w:numId w:val="29"/>
      </w:numPr>
      <w:ind w:hanging="720" w:start="1440" w:end="0"/>
    </w:pPr>
    <w:rPr/>
  </w:style>
  <w:style w:type="paragraph" w:styleId="11">
    <w:name w:val="(1)"/>
    <w:basedOn w:val="Normal"/>
    <w:qFormat/>
    <w:pPr>
      <w:tabs>
        <w:tab w:val="clear" w:pos="720"/>
        <w:tab w:val="left" w:pos="1080" w:leader="none"/>
      </w:tabs>
      <w:spacing w:before="0" w:after="120"/>
      <w:ind w:firstLine="288" w:start="288" w:end="0"/>
      <w:jc w:val="both"/>
    </w:pPr>
    <w:rPr>
      <w:sz w:val="22"/>
    </w:rPr>
  </w:style>
  <w:style w:type="paragraph" w:styleId="SR1">
    <w:name w:val="SR(1)"/>
    <w:basedOn w:val="Normal"/>
    <w:qFormat/>
    <w:pPr>
      <w:tabs>
        <w:tab w:val="clear" w:pos="720"/>
        <w:tab w:val="left" w:pos="2495" w:leader="none"/>
        <w:tab w:val="left" w:pos="3071" w:leader="none"/>
        <w:tab w:val="left" w:pos="3647" w:leader="none"/>
        <w:tab w:val="left" w:pos="8910" w:leader="none"/>
      </w:tabs>
      <w:ind w:hanging="540" w:start="1260" w:end="0"/>
      <w:jc w:val="both"/>
    </w:pPr>
    <w:rPr>
      <w:sz w:val="20"/>
    </w:rPr>
  </w:style>
  <w:style w:type="paragraph" w:styleId="Level1">
    <w:name w:val="Level 1"/>
    <w:basedOn w:val="Normal"/>
    <w:qFormat/>
    <w:pPr>
      <w:widowControl w:val="false"/>
      <w:ind w:hanging="360" w:start="360" w:end="0"/>
    </w:pPr>
    <w:rPr/>
  </w:style>
  <w:style w:type="paragraph" w:styleId="Subheading">
    <w:name w:val="Subheading"/>
    <w:basedOn w:val="Normal"/>
    <w:next w:val="BodyText"/>
    <w:qFormat/>
    <w:pPr>
      <w:widowControl w:val="false"/>
    </w:pPr>
    <w:rPr/>
  </w:style>
  <w:style w:type="paragraph" w:styleId="Outline">
    <w:name w:val="Outline"/>
    <w:basedOn w:val="Normal"/>
    <w:qFormat/>
    <w:pPr>
      <w:numPr>
        <w:ilvl w:val="0"/>
        <w:numId w:val="2"/>
      </w:numPr>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20"/>
      <w:ind w:hanging="360" w:start="360" w:end="0"/>
    </w:pPr>
    <w:rPr>
      <w:sz w:val="22"/>
    </w:rPr>
  </w:style>
  <w:style w:type="paragraph" w:styleId="1Legal">
    <w:name w:val="1Legal"/>
    <w:qFormat/>
    <w:pPr>
      <w:widowControl w:val="false"/>
      <w:tabs>
        <w:tab w:val="left" w:pos="720" w:leader="none"/>
      </w:tabs>
      <w:bidi w:val="0"/>
      <w:ind w:hanging="720" w:start="720" w:end="0"/>
    </w:pPr>
    <w:rPr>
      <w:rFonts w:ascii="Times New Roman" w:hAnsi="Times New Roman" w:eastAsia="Times New Roman" w:cs="Times New Roman"/>
      <w:b/>
      <w:color w:val="auto"/>
      <w:sz w:val="22"/>
      <w:szCs w:val="20"/>
      <w:lang w:val="en-US" w:bidi="ar-SA" w:eastAsia="zh-CN"/>
    </w:rPr>
  </w:style>
  <w:style w:type="paragraph" w:styleId="16">
    <w:name w:val="16'"/>
    <w:basedOn w:val="16listlevel1"/>
    <w:qFormat/>
    <w:pPr>
      <w:numPr>
        <w:ilvl w:val="0"/>
        <w:numId w:val="0"/>
      </w:numPr>
      <w:spacing w:before="0" w:after="120"/>
      <w:ind w:hanging="0" w:start="0" w:end="0"/>
    </w:pPr>
    <w:rPr/>
  </w:style>
  <w:style w:type="paragraph" w:styleId="2">
    <w:name w:val="2"/>
    <w:basedOn w:val="05textparagraph"/>
    <w:qFormat/>
    <w:pPr/>
    <w:rPr>
      <w:b/>
    </w:rPr>
  </w:style>
  <w:style w:type="paragraph" w:styleId="SRa">
    <w:name w:val="SR(a)"/>
    <w:basedOn w:val="Normal"/>
    <w:qFormat/>
    <w:pPr>
      <w:tabs>
        <w:tab w:val="left" w:pos="360" w:leader="none"/>
        <w:tab w:val="left" w:pos="720" w:leader="none"/>
        <w:tab w:val="left" w:pos="1872" w:leader="none"/>
        <w:tab w:val="left" w:pos="2495" w:leader="none"/>
        <w:tab w:val="left" w:pos="3071" w:leader="none"/>
        <w:tab w:val="left" w:pos="3647" w:leader="none"/>
        <w:tab w:val="left" w:pos="8910" w:leader="none"/>
      </w:tabs>
      <w:spacing w:before="240" w:after="0"/>
      <w:ind w:hanging="446" w:start="720" w:end="0"/>
      <w:jc w:val="both"/>
    </w:pPr>
    <w:rPr>
      <w:sz w:val="20"/>
    </w:rPr>
  </w:style>
  <w:style w:type="paragraph" w:styleId="sr-A">
    <w:name w:val="sr-(A)"/>
    <w:basedOn w:val="Normal"/>
    <w:qFormat/>
    <w:pPr>
      <w:tabs>
        <w:tab w:val="clear" w:pos="720"/>
        <w:tab w:val="left" w:pos="1710" w:leader="none"/>
      </w:tabs>
      <w:ind w:hanging="450" w:start="1710" w:end="0"/>
      <w:jc w:val="both"/>
    </w:pPr>
    <w:rPr>
      <w:sz w:val="20"/>
    </w:rPr>
  </w:style>
  <w:style w:type="paragraph" w:styleId="paragraph">
    <w:name w:val="paragraph"/>
    <w:basedOn w:val="Normal"/>
    <w:qFormat/>
    <w:pPr>
      <w:spacing w:lineRule="auto" w:line="480"/>
      <w:ind w:hanging="720" w:start="1440" w:end="0"/>
    </w:pPr>
    <w:rPr/>
  </w:style>
  <w:style w:type="paragraph" w:styleId="Style11">
    <w:name w:val="Style1"/>
    <w:basedOn w:val="16listlevel1"/>
    <w:qFormat/>
    <w:pPr>
      <w:numPr>
        <w:ilvl w:val="0"/>
        <w:numId w:val="0"/>
      </w:numPr>
      <w:tabs>
        <w:tab w:val="left" w:pos="720" w:leader="none"/>
      </w:tabs>
      <w:ind w:hanging="720" w:start="720" w:end="0"/>
    </w:pPr>
    <w:rPr/>
  </w:style>
  <w:style w:type="paragraph" w:styleId="Style01">
    <w:name w:val="Style01"/>
    <w:basedOn w:val="Normal"/>
    <w:qFormat/>
    <w:pPr>
      <w:spacing w:before="0" w:after="240"/>
    </w:pPr>
    <w:rPr/>
  </w:style>
  <w:style w:type="paragraph" w:styleId="BodyTextIndent3">
    <w:name w:val="Body Text Indent 3"/>
    <w:basedOn w:val="Normal"/>
    <w:qFormat/>
    <w:pPr>
      <w:ind w:hanging="0" w:start="720" w:end="0"/>
    </w:pPr>
    <w:rPr>
      <w:sz w:val="20"/>
    </w:rPr>
  </w:style>
  <w:style w:type="paragraph" w:styleId="06">
    <w:name w:val="06"/>
    <w:basedOn w:val="BodyTextIndent"/>
    <w:qFormat/>
    <w:pPr/>
    <w:rPr/>
  </w:style>
  <w:style w:type="paragraph" w:styleId="165">
    <w:name w:val="165"/>
    <w:basedOn w:val="List"/>
    <w:qFormat/>
    <w:pPr/>
    <w:rPr/>
  </w:style>
  <w:style w:type="paragraph" w:styleId="56">
    <w:name w:val="56"/>
    <w:basedOn w:val="BodyTextIndent"/>
    <w:qFormat/>
    <w:pPr>
      <w:ind w:hanging="0" w:start="540" w:end="0"/>
    </w:pPr>
    <w:rPr/>
  </w:style>
  <w:style w:type="paragraph" w:styleId="67">
    <w:name w:val="67"/>
    <w:basedOn w:val="Normal"/>
    <w:qFormat/>
    <w:pPr/>
    <w:rPr/>
  </w:style>
  <w:style w:type="paragraph" w:styleId="hh1">
    <w:name w:val="hh1"/>
    <w:basedOn w:val="Heading1"/>
    <w:qFormat/>
    <w:pPr>
      <w:numPr>
        <w:ilvl w:val="0"/>
        <w:numId w:val="0"/>
      </w:numPr>
      <w:tabs>
        <w:tab w:val="left" w:pos="720" w:leader="none"/>
      </w:tabs>
      <w:ind w:hanging="720" w:start="720" w:end="0"/>
    </w:pPr>
    <w:rPr>
      <w:caps w:val="false"/>
      <w:smallCaps w:val="false"/>
    </w:rPr>
  </w:style>
  <w:style w:type="paragraph" w:styleId="Print-FromToSubjectDate">
    <w:name w:val="Print- From: To: Subject: Date:"/>
    <w:basedOn w:val="Normal"/>
    <w:qFormat/>
    <w:pPr>
      <w:pBdr>
        <w:left w:val="single" w:sz="18" w:space="1" w:color="000000"/>
      </w:pBdr>
      <w:overflowPunct w:val="false"/>
      <w:autoSpaceDE w:val="false"/>
      <w:textAlignment w:val="baseline"/>
    </w:pPr>
    <w:rPr>
      <w:rFonts w:ascii="Arial" w:hAnsi="Arial" w:cs="Arial"/>
      <w:sz w:val="20"/>
    </w:rPr>
  </w:style>
  <w:style w:type="paragraph" w:styleId="Where1">
    <w:name w:val="Where1"/>
    <w:basedOn w:val="BodyTextIndent"/>
    <w:qFormat/>
    <w:pPr>
      <w:ind w:hanging="0" w:start="54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 w:type="numbering" w:styleId="WW8Num1531">
    <w:name w:val="WW8Num1531"/>
    <w:qFormat/>
  </w:style>
  <w:style w:type="numbering" w:styleId="WW8Num1532">
    <w:name w:val="WW8Num1532"/>
    <w:qFormat/>
  </w:style>
  <w:style w:type="numbering" w:styleId="WW8Num1533">
    <w:name w:val="WW8Num1533"/>
    <w:qFormat/>
  </w:style>
  <w:style w:type="numbering" w:styleId="WW8Num1534">
    <w:name w:val="WW8Num1534"/>
    <w:qFormat/>
  </w:style>
  <w:style w:type="numbering" w:styleId="WW8Num1535">
    <w:name w:val="WW8Num1535"/>
    <w:qFormat/>
  </w:style>
  <w:style w:type="numbering" w:styleId="WW8Num1536">
    <w:name w:val="WW8Num1536"/>
    <w:qFormat/>
  </w:style>
  <w:style w:type="numbering" w:styleId="WW8Num1537">
    <w:name w:val="WW8Num1537"/>
    <w:qFormat/>
  </w:style>
  <w:style w:type="numbering" w:styleId="WW8Num1538">
    <w:name w:val="WW8Num1538"/>
    <w:qFormat/>
  </w:style>
  <w:style w:type="numbering" w:styleId="WW8Num1539">
    <w:name w:val="WW8Num1539"/>
    <w:qFormat/>
  </w:style>
  <w:style w:type="numbering" w:styleId="WW8Num1540">
    <w:name w:val="WW8Num1540"/>
    <w:qFormat/>
  </w:style>
  <w:style w:type="numbering" w:styleId="WW8Num1541">
    <w:name w:val="WW8Num1541"/>
    <w:qFormat/>
  </w:style>
  <w:style w:type="numbering" w:styleId="WW8Num1542">
    <w:name w:val="WW8Num1542"/>
    <w:qFormat/>
  </w:style>
  <w:style w:type="numbering" w:styleId="WW8Num1543">
    <w:name w:val="WW8Num1543"/>
    <w:qFormat/>
  </w:style>
  <w:style w:type="numbering" w:styleId="WW8Num1544">
    <w:name w:val="WW8Num1544"/>
    <w:qFormat/>
  </w:style>
  <w:style w:type="numbering" w:styleId="WW8Num1545">
    <w:name w:val="WW8Num1545"/>
    <w:qFormat/>
  </w:style>
  <w:style w:type="numbering" w:styleId="WW8Num1546">
    <w:name w:val="WW8Num1546"/>
    <w:qFormat/>
  </w:style>
  <w:style w:type="numbering" w:styleId="WW8Num1547">
    <w:name w:val="WW8Num1547"/>
    <w:qFormat/>
  </w:style>
  <w:style w:type="numbering" w:styleId="WW8Num1548">
    <w:name w:val="WW8Num1548"/>
    <w:qFormat/>
  </w:style>
  <w:style w:type="numbering" w:styleId="WW8Num1549">
    <w:name w:val="WW8Num1549"/>
    <w:qFormat/>
  </w:style>
  <w:style w:type="numbering" w:styleId="WW8Num1550">
    <w:name w:val="WW8Num1550"/>
    <w:qFormat/>
  </w:style>
  <w:style w:type="numbering" w:styleId="WW8Num1551">
    <w:name w:val="WW8Num1551"/>
    <w:qFormat/>
  </w:style>
  <w:style w:type="numbering" w:styleId="WW8Num1552">
    <w:name w:val="WW8Num1552"/>
    <w:qFormat/>
  </w:style>
  <w:style w:type="numbering" w:styleId="WW8Num1553">
    <w:name w:val="WW8Num1553"/>
    <w:qFormat/>
  </w:style>
  <w:style w:type="numbering" w:styleId="WW8Num1554">
    <w:name w:val="WW8Num1554"/>
    <w:qFormat/>
  </w:style>
  <w:style w:type="numbering" w:styleId="WW8Num1555">
    <w:name w:val="WW8Num1555"/>
    <w:qFormat/>
  </w:style>
  <w:style w:type="numbering" w:styleId="WW8Num1556">
    <w:name w:val="WW8Num1556"/>
    <w:qFormat/>
  </w:style>
  <w:style w:type="numbering" w:styleId="WW8Num1557">
    <w:name w:val="WW8Num1557"/>
    <w:qFormat/>
  </w:style>
  <w:style w:type="numbering" w:styleId="WW8Num1558">
    <w:name w:val="WW8Num1558"/>
    <w:qFormat/>
  </w:style>
  <w:style w:type="numbering" w:styleId="WW8Num1559">
    <w:name w:val="WW8Num1559"/>
    <w:qFormat/>
  </w:style>
  <w:style w:type="numbering" w:styleId="WW8Num1560">
    <w:name w:val="WW8Num1560"/>
    <w:qFormat/>
  </w:style>
  <w:style w:type="numbering" w:styleId="WW8Num1561">
    <w:name w:val="WW8Num1561"/>
    <w:qFormat/>
  </w:style>
  <w:style w:type="numbering" w:styleId="WW8Num1562">
    <w:name w:val="WW8Num1562"/>
    <w:qFormat/>
  </w:style>
  <w:style w:type="numbering" w:styleId="WW8Num1563">
    <w:name w:val="WW8Num1563"/>
    <w:qFormat/>
  </w:style>
  <w:style w:type="numbering" w:styleId="WW8Num1564">
    <w:name w:val="WW8Num1564"/>
    <w:qFormat/>
  </w:style>
  <w:style w:type="numbering" w:styleId="WW8Num1565">
    <w:name w:val="WW8Num1565"/>
    <w:qFormat/>
  </w:style>
  <w:style w:type="numbering" w:styleId="WW8Num1566">
    <w:name w:val="WW8Num1566"/>
    <w:qFormat/>
  </w:style>
  <w:style w:type="numbering" w:styleId="WW8Num1567">
    <w:name w:val="WW8Num1567"/>
    <w:qFormat/>
  </w:style>
  <w:style w:type="numbering" w:styleId="WW8Num1568">
    <w:name w:val="WW8Num1568"/>
    <w:qFormat/>
  </w:style>
  <w:style w:type="numbering" w:styleId="WW8Num1569">
    <w:name w:val="WW8Num1569"/>
    <w:qFormat/>
  </w:style>
  <w:style w:type="numbering" w:styleId="WW8Num1570">
    <w:name w:val="WW8Num1570"/>
    <w:qFormat/>
  </w:style>
  <w:style w:type="numbering" w:styleId="WW8Num1571">
    <w:name w:val="WW8Num1571"/>
    <w:qFormat/>
  </w:style>
  <w:style w:type="numbering" w:styleId="WW8Num1572">
    <w:name w:val="WW8Num1572"/>
    <w:qFormat/>
  </w:style>
  <w:style w:type="numbering" w:styleId="WW8Num1573">
    <w:name w:val="WW8Num1573"/>
    <w:qFormat/>
  </w:style>
  <w:style w:type="numbering" w:styleId="WW8Num1574">
    <w:name w:val="WW8Num1574"/>
    <w:qFormat/>
  </w:style>
  <w:style w:type="numbering" w:styleId="WW8Num1575">
    <w:name w:val="WW8Num1575"/>
    <w:qFormat/>
  </w:style>
  <w:style w:type="numbering" w:styleId="WW8Num1576">
    <w:name w:val="WW8Num1576"/>
    <w:qFormat/>
  </w:style>
  <w:style w:type="numbering" w:styleId="WW8Num1577">
    <w:name w:val="WW8Num1577"/>
    <w:qFormat/>
  </w:style>
  <w:style w:type="numbering" w:styleId="WW8Num1578">
    <w:name w:val="WW8Num1578"/>
    <w:qFormat/>
  </w:style>
  <w:style w:type="numbering" w:styleId="WW8Num1579">
    <w:name w:val="WW8Num1579"/>
    <w:qFormat/>
  </w:style>
  <w:style w:type="numbering" w:styleId="WW8Num1580">
    <w:name w:val="WW8Num1580"/>
    <w:qFormat/>
  </w:style>
  <w:style w:type="numbering" w:styleId="WW8Num1581">
    <w:name w:val="WW8Num1581"/>
    <w:qFormat/>
  </w:style>
  <w:style w:type="numbering" w:styleId="WW8Num1582">
    <w:name w:val="WW8Num1582"/>
    <w:qFormat/>
  </w:style>
  <w:style w:type="numbering" w:styleId="WW8Num1583">
    <w:name w:val="WW8Num1583"/>
    <w:qFormat/>
  </w:style>
  <w:style w:type="numbering" w:styleId="WW8Num1584">
    <w:name w:val="WW8Num1584"/>
    <w:qFormat/>
  </w:style>
  <w:style w:type="numbering" w:styleId="WW8Num1585">
    <w:name w:val="WW8Num1585"/>
    <w:qFormat/>
  </w:style>
  <w:style w:type="numbering" w:styleId="WW8Num1586">
    <w:name w:val="WW8Num1586"/>
    <w:qFormat/>
  </w:style>
  <w:style w:type="numbering" w:styleId="WW8Num1587">
    <w:name w:val="WW8Num1587"/>
    <w:qFormat/>
  </w:style>
  <w:style w:type="numbering" w:styleId="WW8Num1588">
    <w:name w:val="WW8Num1588"/>
    <w:qFormat/>
  </w:style>
  <w:style w:type="numbering" w:styleId="WW8Num1589">
    <w:name w:val="WW8Num1589"/>
    <w:qFormat/>
  </w:style>
  <w:style w:type="numbering" w:styleId="WW8Num1590">
    <w:name w:val="WW8Num1590"/>
    <w:qFormat/>
  </w:style>
  <w:style w:type="numbering" w:styleId="WW8Num1591">
    <w:name w:val="WW8Num1591"/>
    <w:qFormat/>
  </w:style>
  <w:style w:type="numbering" w:styleId="WW8Num1592">
    <w:name w:val="WW8Num1592"/>
    <w:qFormat/>
  </w:style>
  <w:style w:type="numbering" w:styleId="WW8Num1593">
    <w:name w:val="WW8Num159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2000-07-31T12:52:00Z</dcterms:created>
  <dc:creator>Ezra</dc:creator>
  <dc:description/>
  <dc:language>en-CA</dc:language>
  <cp:lastModifiedBy>Barry Huddleston</cp:lastModifiedBy>
  <dcterms:modified xsi:type="dcterms:W3CDTF">2000-07-31T12:52:00Z</dcterms:modified>
  <cp:revision>2</cp:revision>
  <dc:subject/>
  <dc:title> </dc:title>
</cp:coreProperties>
</file>