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b/>
          <w:u w:val="single"/>
        </w:rPr>
        <w:t>THE INTERNATIONAL SWAPS AND DERIVATIVES ASSOCIATION, INC.</w:t>
      </w:r>
    </w:p>
    <w:p>
      <w:pPr>
        <w:pStyle w:val="Normal"/>
        <w:jc w:val="center"/>
        <w:rPr>
          <w:b/>
        </w:rPr>
      </w:pPr>
      <w:r>
        <w:rPr>
          <w:b/>
        </w:rPr>
        <w:t>(“ISDA”)</w:t>
      </w:r>
    </w:p>
    <w:p>
      <w:pPr>
        <w:pStyle w:val="Normal"/>
        <w:rPr>
          <w:b/>
        </w:rPr>
      </w:pPr>
      <w:r>
        <w:rPr>
          <w:b/>
        </w:rPr>
      </w:r>
    </w:p>
    <w:p>
      <w:pPr>
        <w:pStyle w:val="Normal"/>
        <w:jc w:val="center"/>
        <w:rPr>
          <w:b/>
        </w:rPr>
      </w:pPr>
      <w:r>
        <w:rPr>
          <w:b/>
        </w:rPr>
        <w:t>Questions to Members</w:t>
      </w:r>
    </w:p>
    <w:p>
      <w:pPr>
        <w:pStyle w:val="Normal"/>
        <w:rPr>
          <w:b/>
        </w:rPr>
      </w:pPr>
      <w:r>
        <w:rPr>
          <w:b/>
        </w:rPr>
      </w:r>
    </w:p>
    <w:p>
      <w:pPr>
        <w:pStyle w:val="BodyText5LA"/>
        <w:spacing w:before="0" w:after="0"/>
        <w:rPr/>
      </w:pPr>
      <w:r>
        <w:rPr/>
        <w:t xml:space="preserve">This note sets forth some issues that may be of particular interest to ISDA presented in the release with regard to Section 23A and Section 23B of the Federal Reserve Act issued on May 2, 2001 by the Board of Governors of the Federal Reserve System (the “Board”).  It reflects in large part questions posed by the Board.  ISDA may elect not to respond to many of these questions.  </w:t>
      </w:r>
    </w:p>
    <w:p>
      <w:pPr>
        <w:pStyle w:val="Normal"/>
        <w:rPr/>
      </w:pPr>
      <w:r>
        <w:rPr/>
      </w:r>
    </w:p>
    <w:p>
      <w:pPr>
        <w:pStyle w:val="Normal"/>
        <w:numPr>
          <w:ilvl w:val="0"/>
          <w:numId w:val="2"/>
        </w:numPr>
        <w:tabs>
          <w:tab w:val="clear" w:pos="720"/>
          <w:tab w:val="left" w:pos="360" w:leader="none"/>
        </w:tabs>
        <w:rPr/>
      </w:pPr>
      <w:r>
        <w:rPr>
          <w:u w:val="single"/>
        </w:rPr>
        <w:t>Derivatives</w:t>
      </w:r>
      <w:r>
        <w:rPr/>
        <w:t>.</w:t>
      </w:r>
    </w:p>
    <w:p>
      <w:pPr>
        <w:pStyle w:val="Normal"/>
        <w:rPr/>
      </w:pPr>
      <w:r>
        <w:rPr/>
      </w:r>
    </w:p>
    <w:p>
      <w:pPr>
        <w:pStyle w:val="Normal"/>
        <w:numPr>
          <w:ilvl w:val="2"/>
          <w:numId w:val="2"/>
        </w:numPr>
        <w:tabs>
          <w:tab w:val="clear" w:pos="720"/>
        </w:tabs>
        <w:ind w:hanging="360" w:start="720" w:end="0"/>
        <w:rPr/>
      </w:pPr>
      <w:r>
        <w:rPr/>
        <w:t>Generally, in connection with the interim rules and proposed Regulation W, what is the most appropriate treatment under Section 23A of the credit exposure arising from derivative transactions?  Should we simply take the position that reliance on Section 23B is the best approach?  We would argue that in a complex and evolving market, relying on the fair market standards developed for dealing with third parties, which standards are subject to regulatory examination, is a superior approach to imposing a one-size-fits-all static regulatory regime.</w:t>
      </w:r>
    </w:p>
    <w:p>
      <w:pPr>
        <w:pStyle w:val="Normal"/>
        <w:ind w:start="360" w:end="0"/>
        <w:rPr/>
      </w:pPr>
      <w:r>
        <w:rPr/>
      </w:r>
    </w:p>
    <w:p>
      <w:pPr>
        <w:pStyle w:val="Normal"/>
        <w:numPr>
          <w:ilvl w:val="2"/>
          <w:numId w:val="2"/>
        </w:numPr>
        <w:tabs>
          <w:tab w:val="clear" w:pos="720"/>
        </w:tabs>
        <w:ind w:hanging="360" w:start="720" w:end="0"/>
        <w:rPr/>
      </w:pPr>
      <w:r>
        <w:rPr/>
        <w:t>How should “derivative” be defined?</w:t>
      </w:r>
      <w:r>
        <w:rPr>
          <w:rStyle w:val="FootnoteCharacters"/>
          <w:rStyle w:val="FootnoteReference"/>
        </w:rPr>
        <w:footnoteReference w:id="2"/>
      </w:r>
      <w:r>
        <w:rPr/>
        <w:t xml:space="preserve">  The Board appears to be concerned that there are abusive transactions in which what it views as in substance loans and guarantees are being characterized as derivatives.</w:t>
      </w:r>
    </w:p>
    <w:p>
      <w:pPr>
        <w:pStyle w:val="Normal"/>
        <w:ind w:start="360" w:end="0"/>
        <w:rPr/>
      </w:pPr>
      <w:r>
        <w:rPr/>
      </w:r>
    </w:p>
    <w:p>
      <w:pPr>
        <w:pStyle w:val="Normal"/>
        <w:numPr>
          <w:ilvl w:val="2"/>
          <w:numId w:val="2"/>
        </w:numPr>
        <w:tabs>
          <w:tab w:val="clear" w:pos="720"/>
        </w:tabs>
        <w:ind w:hanging="360" w:start="720" w:end="0"/>
        <w:rPr/>
      </w:pPr>
      <w:r>
        <w:rPr/>
        <w:t>How should it be determined when a derivative transaction, such as a deep-in-the money option purchased by a bank from an affiliate, is the functional equivalent of a loan from the bank to an affiliate, and, accordingly, fully subject to Section 23A?</w:t>
      </w:r>
    </w:p>
    <w:p>
      <w:pPr>
        <w:pStyle w:val="Normal"/>
        <w:numPr>
          <w:ilvl w:val="3"/>
          <w:numId w:val="2"/>
        </w:numPr>
        <w:tabs>
          <w:tab w:val="clear" w:pos="720"/>
        </w:tabs>
        <w:ind w:hanging="450" w:start="1080" w:end="0"/>
        <w:rPr/>
      </w:pPr>
      <w:r>
        <w:rPr/>
        <w:t>Should Regulation W provide additional guidance for banks on identifying derivative transactions that are, or have aspects that are, the functional equivalent of a loan, and, if so, how should this be accomplished?</w:t>
      </w:r>
    </w:p>
    <w:p>
      <w:pPr>
        <w:pStyle w:val="Normal"/>
        <w:numPr>
          <w:ilvl w:val="3"/>
          <w:numId w:val="2"/>
        </w:numPr>
        <w:tabs>
          <w:tab w:val="clear" w:pos="720"/>
        </w:tabs>
        <w:ind w:hanging="450" w:start="1080" w:end="0"/>
        <w:rPr/>
      </w:pPr>
      <w:r>
        <w:rPr/>
        <w:t>Are the standards used by the Internal Revenue Service to determine the inherent loan elements of a swap transaction also appropriate for utilization by the Board for Section 23A purposes?</w:t>
      </w:r>
    </w:p>
    <w:p>
      <w:pPr>
        <w:pStyle w:val="Normal"/>
        <w:numPr>
          <w:ilvl w:val="3"/>
          <w:numId w:val="2"/>
        </w:numPr>
        <w:tabs>
          <w:tab w:val="clear" w:pos="720"/>
        </w:tabs>
        <w:ind w:hanging="450" w:start="1080" w:end="0"/>
        <w:rPr/>
      </w:pPr>
      <w:r>
        <w:rPr/>
        <w:t>Should Regulation W treat the entirety of a bank-affiliate derivative transaction as a loan under Section 23A if any portion of the transaction is the functional equivalent of a loan, or should the Board impose loan treatment only on that portion of the transaction that functions as a loan?</w:t>
      </w:r>
    </w:p>
    <w:p>
      <w:pPr>
        <w:pStyle w:val="Normal"/>
        <w:numPr>
          <w:ilvl w:val="3"/>
          <w:numId w:val="2"/>
        </w:numPr>
        <w:tabs>
          <w:tab w:val="clear" w:pos="720"/>
        </w:tabs>
        <w:ind w:hanging="450" w:start="1080" w:end="0"/>
        <w:rPr/>
      </w:pPr>
      <w:r>
        <w:rPr/>
        <w:t>Should Regulation W provide a separate treatment for any other specific types of derivatives?  Specifically, should a credit derivative between a bank and an affiliate in which the bank provides credit protection to the affiliate with respect to the affiliate’s assets be treated as a covered transaction and made subject to all the requirements of Section 23A?  Also, how should a derivative transaction be treated that effectively guarantees to a nonaffiliate the credit or performance of an affiliate?</w:t>
      </w:r>
    </w:p>
    <w:p>
      <w:pPr>
        <w:pStyle w:val="Normal"/>
        <w:numPr>
          <w:ilvl w:val="3"/>
          <w:numId w:val="2"/>
        </w:numPr>
        <w:tabs>
          <w:tab w:val="clear" w:pos="720"/>
        </w:tabs>
        <w:ind w:hanging="450" w:start="1080" w:end="0"/>
        <w:rPr/>
      </w:pPr>
      <w:r>
        <w:rPr/>
        <w:t>What should the appropriate treatment under Section 23A be for credit derivatives between a bank and an affiliate of the bank that reference third party obligations held by the affiliate?</w:t>
      </w:r>
    </w:p>
    <w:p>
      <w:pPr>
        <w:pStyle w:val="Normal"/>
        <w:ind w:start="360" w:end="0"/>
        <w:rPr/>
      </w:pPr>
      <w:r>
        <w:rPr/>
      </w:r>
    </w:p>
    <w:p>
      <w:pPr>
        <w:pStyle w:val="Normal"/>
        <w:numPr>
          <w:ilvl w:val="2"/>
          <w:numId w:val="2"/>
        </w:numPr>
        <w:tabs>
          <w:tab w:val="clear" w:pos="720"/>
        </w:tabs>
        <w:ind w:hanging="360" w:start="720" w:end="0"/>
        <w:rPr/>
      </w:pPr>
      <w:r>
        <w:rPr/>
        <w:t>Should banks be required to adopt any specific policies and procedures with respect to their derivative transactions with affiliates?  These policies and procedures might include provisions that require a bank to adopt the following “best practices”:  (a) entering into a legally enforceable bilateral netting agreement with each of its affiliated derivatives counterparties; (b) revaluing its derivative transactions with affiliates on a daily basis; and (c) collateralizing its net mark-to-market credit exposure on derivative transactions with affiliates.</w:t>
      </w:r>
    </w:p>
    <w:p>
      <w:pPr>
        <w:pStyle w:val="Normal"/>
        <w:numPr>
          <w:ilvl w:val="3"/>
          <w:numId w:val="2"/>
        </w:numPr>
        <w:tabs>
          <w:tab w:val="clear" w:pos="720"/>
        </w:tabs>
        <w:ind w:hanging="450" w:start="1080" w:end="0"/>
        <w:rPr/>
      </w:pPr>
      <w:r>
        <w:rPr/>
        <w:t>Are these types of policies and procedures appropriate?</w:t>
      </w:r>
    </w:p>
    <w:p>
      <w:pPr>
        <w:pStyle w:val="Normal"/>
        <w:numPr>
          <w:ilvl w:val="3"/>
          <w:numId w:val="2"/>
        </w:numPr>
        <w:tabs>
          <w:tab w:val="clear" w:pos="720"/>
        </w:tabs>
        <w:ind w:hanging="450" w:start="1080" w:end="0"/>
        <w:rPr/>
      </w:pPr>
      <w:r>
        <w:rPr/>
        <w:t>Should additional policies and procedures be required to ensure that a bank’s derivative transactions with affiliates are conducted safely and soundly?</w:t>
      </w:r>
    </w:p>
    <w:p>
      <w:pPr>
        <w:pStyle w:val="Normal"/>
        <w:ind w:start="360" w:end="0"/>
        <w:rPr/>
      </w:pPr>
      <w:r>
        <w:rPr/>
      </w:r>
    </w:p>
    <w:p>
      <w:pPr>
        <w:pStyle w:val="Normal"/>
        <w:numPr>
          <w:ilvl w:val="2"/>
          <w:numId w:val="2"/>
        </w:numPr>
        <w:tabs>
          <w:tab w:val="clear" w:pos="720"/>
        </w:tabs>
        <w:ind w:hanging="360" w:start="720" w:end="0"/>
        <w:rPr/>
      </w:pPr>
      <w:r>
        <w:rPr/>
        <w:t>Should banks be required to disclose to Federal bank supervisors or the public, on a quarterly or other periodic basis, their net credit exposure to affiliates on derivative transactions?</w:t>
      </w:r>
    </w:p>
    <w:p>
      <w:pPr>
        <w:pStyle w:val="Normal"/>
        <w:numPr>
          <w:ilvl w:val="3"/>
          <w:numId w:val="2"/>
        </w:numPr>
        <w:tabs>
          <w:tab w:val="clear" w:pos="720"/>
        </w:tabs>
        <w:ind w:hanging="450" w:start="1080" w:end="0"/>
        <w:rPr/>
      </w:pPr>
      <w:r>
        <w:rPr/>
        <w:t>What types of disclosures could a bank reasonably be required to provide with respect to their derivative transactions with affiliates in order to assist the Federal banking agencies in monitoring and supervising such transactions?</w:t>
      </w:r>
    </w:p>
    <w:p>
      <w:pPr>
        <w:pStyle w:val="Normal"/>
        <w:ind w:start="360" w:end="0"/>
        <w:rPr/>
      </w:pPr>
      <w:r>
        <w:rPr/>
      </w:r>
    </w:p>
    <w:p>
      <w:pPr>
        <w:pStyle w:val="Normal"/>
        <w:numPr>
          <w:ilvl w:val="2"/>
          <w:numId w:val="2"/>
        </w:numPr>
        <w:tabs>
          <w:tab w:val="clear" w:pos="720"/>
        </w:tabs>
        <w:ind w:hanging="360" w:start="720" w:end="0"/>
        <w:rPr/>
      </w:pPr>
      <w:r>
        <w:rPr/>
        <w:t>Should any final rule addressing bank-affiliate derivatives impose a quantitative limit on the aggregate amount of a bank’s net credit exposure on such transactions?</w:t>
      </w:r>
    </w:p>
    <w:p>
      <w:pPr>
        <w:pStyle w:val="Normal"/>
        <w:numPr>
          <w:ilvl w:val="3"/>
          <w:numId w:val="2"/>
        </w:numPr>
        <w:tabs>
          <w:tab w:val="clear" w:pos="720"/>
        </w:tabs>
        <w:ind w:hanging="450" w:start="1080" w:end="0"/>
        <w:rPr/>
      </w:pPr>
      <w:r>
        <w:rPr/>
        <w:t>Should any such limit be structured as a separate limit for net credit exposure on bank-affiliate derivative transactions or should such limit require banks to incorporate their net credit exposure arising from their overall Section 23A quantitative limits?</w:t>
      </w:r>
    </w:p>
    <w:p>
      <w:pPr>
        <w:pStyle w:val="Normal"/>
        <w:numPr>
          <w:ilvl w:val="3"/>
          <w:numId w:val="2"/>
        </w:numPr>
        <w:tabs>
          <w:tab w:val="clear" w:pos="720"/>
        </w:tabs>
        <w:ind w:hanging="450" w:start="1080" w:end="0"/>
        <w:rPr/>
      </w:pPr>
      <w:r>
        <w:rPr/>
        <w:t>Would 10% of the bank’s capital stock and surplus be an appropriate size for a separate cap on net derivatives?</w:t>
      </w:r>
    </w:p>
    <w:p>
      <w:pPr>
        <w:pStyle w:val="Normal"/>
        <w:rPr/>
      </w:pPr>
      <w:r>
        <w:rPr/>
      </w:r>
    </w:p>
    <w:p>
      <w:pPr>
        <w:pStyle w:val="Normal"/>
        <w:numPr>
          <w:ilvl w:val="2"/>
          <w:numId w:val="2"/>
        </w:numPr>
        <w:tabs>
          <w:tab w:val="clear" w:pos="720"/>
        </w:tabs>
        <w:ind w:hanging="360" w:start="720" w:end="0"/>
        <w:rPr/>
      </w:pPr>
      <w:r>
        <w:rPr/>
        <w:t>Should banks be required to collateralize their net derivatives credit exposure to affiliates in accordance with the collateral requirements of Section 23A?</w:t>
      </w:r>
    </w:p>
    <w:p>
      <w:pPr>
        <w:pStyle w:val="Normal"/>
        <w:rPr/>
      </w:pPr>
      <w:r>
        <w:rPr/>
      </w:r>
    </w:p>
    <w:p>
      <w:pPr>
        <w:pStyle w:val="Normal"/>
        <w:numPr>
          <w:ilvl w:val="2"/>
          <w:numId w:val="2"/>
        </w:numPr>
        <w:tabs>
          <w:tab w:val="clear" w:pos="720"/>
        </w:tabs>
        <w:ind w:hanging="360" w:start="720" w:end="0"/>
        <w:rPr/>
      </w:pPr>
      <w:r>
        <w:rPr/>
        <w:t>In the event that the Board were to impose a quantitative limit on bank-affiliate derivative transactions, how should banks be required to determine the amount of their derivative transactions with affiliates?</w:t>
      </w:r>
    </w:p>
    <w:p>
      <w:pPr>
        <w:pStyle w:val="Normal"/>
        <w:numPr>
          <w:ilvl w:val="3"/>
          <w:numId w:val="2"/>
        </w:numPr>
        <w:tabs>
          <w:tab w:val="clear" w:pos="720"/>
        </w:tabs>
        <w:ind w:hanging="450" w:start="1080" w:end="0"/>
        <w:rPr/>
      </w:pPr>
      <w:r>
        <w:rPr/>
        <w:t>One valuation option would be to require banks to value a derivative transaction with an affiliate at the current exposure of the bank to the affiliate on the transaction.  Under this option, the amount of a bank’s Section 23A exposure to an affiliate on a derivative transaction would be based on the mark-to-market value of the transaction for the bank.  Should these mark-to-market values be adjusted to reflect counterparty credit quality?</w:t>
      </w:r>
    </w:p>
    <w:p>
      <w:pPr>
        <w:pStyle w:val="Normal"/>
        <w:numPr>
          <w:ilvl w:val="3"/>
          <w:numId w:val="2"/>
        </w:numPr>
        <w:tabs>
          <w:tab w:val="clear" w:pos="720"/>
        </w:tabs>
        <w:ind w:hanging="450" w:start="1080" w:end="0"/>
        <w:rPr/>
      </w:pPr>
      <w:r>
        <w:rPr/>
        <w:t xml:space="preserve">Another valuation option would require banks to value a derivative transaction with an affiliate at the current exposure of the bank to the affiliate on the transaction </w:t>
      </w:r>
      <w:r>
        <w:rPr>
          <w:u w:val="single"/>
        </w:rPr>
        <w:t>plus</w:t>
      </w:r>
      <w:r>
        <w:rPr/>
        <w:t xml:space="preserve"> an estimate of the bank’s potential future exposure (“PFE”) to the affiliate on the transaction.  Should banks be required to include an estimate of PFE when determining the amount of their credit exposure on bank-affiliate derivative transactions and, if so, how should banks be required to calculate PFE?  Is the appropriate time horizon for estimating PFE on a derivative transaction the remaining maturity of the transaction or some shorter “close-out” period?</w:t>
      </w:r>
    </w:p>
    <w:p>
      <w:pPr>
        <w:pStyle w:val="Normal"/>
        <w:ind w:start="630" w:end="0"/>
        <w:rPr/>
      </w:pPr>
      <w:r>
        <w:rPr/>
      </w:r>
    </w:p>
    <w:p>
      <w:pPr>
        <w:pStyle w:val="Normal"/>
        <w:numPr>
          <w:ilvl w:val="2"/>
          <w:numId w:val="2"/>
        </w:numPr>
        <w:tabs>
          <w:tab w:val="clear" w:pos="720"/>
        </w:tabs>
        <w:ind w:hanging="360" w:start="720" w:end="0"/>
        <w:rPr/>
      </w:pPr>
      <w:r>
        <w:rPr/>
        <w:t>Should banks be allowed to take into account credit risk mitigators, such as collateral, in determining the amount of their derivative transactions with affiliates?</w:t>
      </w:r>
    </w:p>
    <w:p>
      <w:pPr>
        <w:pStyle w:val="Normal"/>
        <w:ind w:start="360" w:end="0"/>
        <w:rPr/>
      </w:pPr>
      <w:r>
        <w:rPr/>
      </w:r>
    </w:p>
    <w:p>
      <w:pPr>
        <w:pStyle w:val="Normal"/>
        <w:numPr>
          <w:ilvl w:val="2"/>
          <w:numId w:val="2"/>
        </w:numPr>
        <w:tabs>
          <w:tab w:val="clear" w:pos="720"/>
        </w:tabs>
        <w:ind w:hanging="360" w:start="720" w:end="0"/>
        <w:rPr/>
      </w:pPr>
      <w:r>
        <w:rPr/>
        <w:t>Should Regulation W provide banks with partial credit for partially securing derivative transactions with affiliates?</w:t>
      </w:r>
    </w:p>
    <w:p>
      <w:pPr>
        <w:pStyle w:val="Normal"/>
        <w:numPr>
          <w:ilvl w:val="3"/>
          <w:numId w:val="2"/>
        </w:numPr>
        <w:tabs>
          <w:tab w:val="clear" w:pos="720"/>
        </w:tabs>
        <w:ind w:hanging="450" w:start="1080" w:end="0"/>
        <w:rPr/>
      </w:pPr>
      <w:r>
        <w:rPr/>
        <w:t>What types of collateral should Regulation W recognize for the purpose of reducing the Section 23A credit exposure of a bank to its affiliates on derivative transactions?</w:t>
      </w:r>
    </w:p>
    <w:p>
      <w:pPr>
        <w:pStyle w:val="Normal"/>
        <w:numPr>
          <w:ilvl w:val="3"/>
          <w:numId w:val="2"/>
        </w:numPr>
        <w:tabs>
          <w:tab w:val="clear" w:pos="720"/>
        </w:tabs>
        <w:ind w:hanging="450" w:start="1080" w:end="0"/>
        <w:rPr/>
      </w:pPr>
      <w:r>
        <w:rPr/>
        <w:t>Should the Board expand the list of collateral acceptable for reducing the Section 23A amount of these transactions and, if so, what kinds of other collateral should be acceptable as credit risk mitigators for the transactions, and what haircuts should apply to any added collateral types?</w:t>
      </w:r>
    </w:p>
    <w:p>
      <w:pPr>
        <w:pStyle w:val="Normal"/>
        <w:ind w:start="630" w:end="0"/>
        <w:rPr/>
      </w:pPr>
      <w:r>
        <w:rPr/>
      </w:r>
    </w:p>
    <w:p>
      <w:pPr>
        <w:pStyle w:val="Normal"/>
        <w:numPr>
          <w:ilvl w:val="2"/>
          <w:numId w:val="2"/>
        </w:numPr>
        <w:tabs>
          <w:tab w:val="clear" w:pos="720"/>
        </w:tabs>
        <w:ind w:hanging="360" w:start="720" w:end="0"/>
        <w:rPr/>
      </w:pPr>
      <w:r>
        <w:rPr/>
        <w:t>If the general 10% and 20% quantitative limits of Section 23A are applied to bank-affiliate derivative transactions, how should increased credit exposure of the bank to an affiliate on a pre-existing derivative transaction be treated?</w:t>
      </w:r>
    </w:p>
    <w:p>
      <w:pPr>
        <w:pStyle w:val="Normal"/>
        <w:ind w:start="360" w:end="0"/>
        <w:rPr/>
      </w:pPr>
      <w:r>
        <w:rPr/>
      </w:r>
    </w:p>
    <w:p>
      <w:pPr>
        <w:pStyle w:val="Normal"/>
        <w:numPr>
          <w:ilvl w:val="2"/>
          <w:numId w:val="2"/>
        </w:numPr>
        <w:tabs>
          <w:tab w:val="clear" w:pos="720"/>
        </w:tabs>
        <w:ind w:hanging="360" w:start="720" w:end="0"/>
        <w:rPr/>
      </w:pPr>
      <w:r>
        <w:rPr/>
        <w:t>If the Board were to determine that bank-affiliate derivative transactions are subject to some sort of quantitative limit under Section 23A, should the Board recognize bilateral netting agreements when computing the amount of a bank’s derivatives credit exposure to an affiliate and, if so, are the principles set forth in the Capital Guidelines appropriate minimum requirements for determining what is a qualifying netting agreement?</w:t>
      </w:r>
    </w:p>
    <w:p>
      <w:pPr>
        <w:pStyle w:val="Normal"/>
        <w:ind w:start="360" w:end="0"/>
        <w:rPr/>
      </w:pPr>
      <w:r>
        <w:rPr/>
      </w:r>
    </w:p>
    <w:p>
      <w:pPr>
        <w:pStyle w:val="Normal"/>
        <w:numPr>
          <w:ilvl w:val="2"/>
          <w:numId w:val="2"/>
        </w:numPr>
        <w:tabs>
          <w:tab w:val="clear" w:pos="720"/>
        </w:tabs>
        <w:ind w:hanging="360" w:start="720" w:end="0"/>
        <w:rPr/>
      </w:pPr>
      <w:r>
        <w:rPr/>
        <w:t>How often should a bank mark to market its derivative transactions with affiliates?</w:t>
      </w:r>
    </w:p>
    <w:p>
      <w:pPr>
        <w:pStyle w:val="Normal"/>
        <w:numPr>
          <w:ilvl w:val="3"/>
          <w:numId w:val="2"/>
        </w:numPr>
        <w:tabs>
          <w:tab w:val="clear" w:pos="720"/>
        </w:tabs>
        <w:ind w:hanging="450" w:start="1080" w:end="0"/>
        <w:rPr/>
      </w:pPr>
      <w:r>
        <w:rPr/>
        <w:t>How often do banks mark to market their derivative transactions with third parties?</w:t>
      </w:r>
    </w:p>
    <w:p>
      <w:pPr>
        <w:pStyle w:val="Normal"/>
        <w:numPr>
          <w:ilvl w:val="3"/>
          <w:numId w:val="2"/>
        </w:numPr>
        <w:tabs>
          <w:tab w:val="clear" w:pos="720"/>
        </w:tabs>
        <w:ind w:hanging="450" w:start="1080" w:end="0"/>
        <w:rPr/>
      </w:pPr>
      <w:r>
        <w:rPr/>
        <w:t>What are the potential burden and benefits of requiring banks to mark to market their derivative transactions with affiliates on a daily basis?</w:t>
      </w:r>
    </w:p>
    <w:p>
      <w:pPr>
        <w:pStyle w:val="Normal"/>
        <w:ind w:start="630" w:end="0"/>
        <w:rPr/>
      </w:pPr>
      <w:r>
        <w:rPr/>
      </w:r>
    </w:p>
    <w:p>
      <w:pPr>
        <w:pStyle w:val="Normal"/>
        <w:numPr>
          <w:ilvl w:val="2"/>
          <w:numId w:val="2"/>
        </w:numPr>
        <w:tabs>
          <w:tab w:val="clear" w:pos="720"/>
        </w:tabs>
        <w:ind w:hanging="360" w:start="720" w:end="0"/>
        <w:rPr/>
      </w:pPr>
      <w:r>
        <w:rPr/>
        <w:t>Is it necessary or appropriate to grandfather existing derivative transactions between banks and their affiliates?</w:t>
      </w:r>
    </w:p>
    <w:p>
      <w:pPr>
        <w:pStyle w:val="Normal"/>
        <w:ind w:start="360" w:end="0"/>
        <w:rPr/>
      </w:pPr>
      <w:r>
        <w:rPr/>
      </w:r>
    </w:p>
    <w:p>
      <w:pPr>
        <w:pStyle w:val="Normal"/>
        <w:numPr>
          <w:ilvl w:val="2"/>
          <w:numId w:val="2"/>
        </w:numPr>
        <w:tabs>
          <w:tab w:val="clear" w:pos="720"/>
        </w:tabs>
        <w:ind w:hanging="360" w:start="720" w:end="0"/>
        <w:rPr/>
      </w:pPr>
      <w:r>
        <w:rPr/>
        <w:t>In the interim rules, the Board specifically poses the following questions:</w:t>
      </w:r>
    </w:p>
    <w:p>
      <w:pPr>
        <w:pStyle w:val="Normal"/>
        <w:numPr>
          <w:ilvl w:val="3"/>
          <w:numId w:val="2"/>
        </w:numPr>
        <w:tabs>
          <w:tab w:val="clear" w:pos="720"/>
        </w:tabs>
        <w:ind w:hanging="450" w:start="1080" w:end="0"/>
        <w:rPr/>
      </w:pPr>
      <w:r>
        <w:rPr/>
        <w:t>How do banks currently measure, monitor and limit derivatives credit exposure to unaffiliated companies?</w:t>
      </w:r>
    </w:p>
    <w:p>
      <w:pPr>
        <w:pStyle w:val="Normal"/>
        <w:numPr>
          <w:ilvl w:val="3"/>
          <w:numId w:val="2"/>
        </w:numPr>
        <w:tabs>
          <w:tab w:val="clear" w:pos="720"/>
        </w:tabs>
        <w:ind w:hanging="450" w:start="1080" w:end="0"/>
        <w:rPr/>
      </w:pPr>
      <w:r>
        <w:rPr/>
        <w:t>Do banks include an estimate of potential future exposure in their measurement of credit exposure to unaffiliated derivatives counterparties, and, if so, how do banks estimate potential future exposure on a derivative transaction?</w:t>
      </w:r>
    </w:p>
    <w:p>
      <w:pPr>
        <w:pStyle w:val="Normal"/>
        <w:numPr>
          <w:ilvl w:val="3"/>
          <w:numId w:val="2"/>
        </w:numPr>
        <w:tabs>
          <w:tab w:val="clear" w:pos="720"/>
        </w:tabs>
        <w:ind w:hanging="450" w:start="1080" w:end="0"/>
        <w:rPr/>
      </w:pPr>
      <w:r>
        <w:rPr/>
        <w:t>Under what circumstances and to what extent do banks require unaffiliated counterparties to post collateral to secure derivatives credit exposure?</w:t>
      </w:r>
    </w:p>
    <w:p>
      <w:pPr>
        <w:pStyle w:val="Normal"/>
        <w:numPr>
          <w:ilvl w:val="3"/>
          <w:numId w:val="2"/>
        </w:numPr>
        <w:tabs>
          <w:tab w:val="clear" w:pos="720"/>
        </w:tabs>
        <w:ind w:hanging="450" w:start="1080" w:end="0"/>
        <w:rPr/>
      </w:pPr>
      <w:r>
        <w:rPr/>
        <w:t>What types of collateral do banks accept to secure derivatives credit exposure (and what haircuts are used for the various collateral types)?</w:t>
      </w:r>
    </w:p>
    <w:p>
      <w:pPr>
        <w:pStyle w:val="Normal"/>
        <w:numPr>
          <w:ilvl w:val="3"/>
          <w:numId w:val="2"/>
        </w:numPr>
        <w:tabs>
          <w:tab w:val="clear" w:pos="720"/>
        </w:tabs>
        <w:ind w:hanging="450" w:start="1080" w:end="0"/>
        <w:rPr/>
      </w:pPr>
      <w:r>
        <w:rPr/>
        <w:t>How often do banks mark to market (and require additional collateral with respect to) their derivative transactions with unaffiliated third parties?</w:t>
      </w:r>
    </w:p>
    <w:p>
      <w:pPr>
        <w:pStyle w:val="Normal"/>
        <w:numPr>
          <w:ilvl w:val="3"/>
          <w:numId w:val="2"/>
        </w:numPr>
        <w:tabs>
          <w:tab w:val="clear" w:pos="720"/>
        </w:tabs>
        <w:ind w:hanging="450" w:start="1080" w:end="0"/>
        <w:rPr/>
      </w:pPr>
      <w:r>
        <w:rPr/>
        <w:t>How large are the uncollateralized derivatives credit exposures that banks have to unaffiliated companies?</w:t>
      </w:r>
    </w:p>
    <w:p>
      <w:pPr>
        <w:pStyle w:val="Normal"/>
        <w:rPr/>
      </w:pPr>
      <w:r>
        <w:rPr/>
      </w:r>
    </w:p>
    <w:p>
      <w:pPr>
        <w:pStyle w:val="Normal"/>
        <w:rPr/>
      </w:pPr>
      <w:r>
        <w:rPr/>
      </w:r>
    </w:p>
    <w:p>
      <w:pPr>
        <w:pStyle w:val="Normal"/>
        <w:numPr>
          <w:ilvl w:val="0"/>
          <w:numId w:val="2"/>
        </w:numPr>
        <w:tabs>
          <w:tab w:val="clear" w:pos="720"/>
          <w:tab w:val="left" w:pos="360" w:leader="none"/>
        </w:tabs>
        <w:rPr/>
      </w:pPr>
      <w:r>
        <w:rPr>
          <w:u w:val="single"/>
        </w:rPr>
        <w:t>Intraday extensions of credit</w:t>
      </w:r>
      <w:r>
        <w:rPr/>
        <w:t>.</w:t>
      </w:r>
    </w:p>
    <w:p>
      <w:pPr>
        <w:pStyle w:val="Normal"/>
        <w:rPr/>
      </w:pPr>
      <w:r>
        <w:rPr/>
      </w:r>
    </w:p>
    <w:p>
      <w:pPr>
        <w:pStyle w:val="Normal"/>
        <w:numPr>
          <w:ilvl w:val="2"/>
          <w:numId w:val="2"/>
        </w:numPr>
        <w:tabs>
          <w:tab w:val="clear" w:pos="720"/>
        </w:tabs>
        <w:ind w:hanging="360" w:start="720" w:end="0"/>
        <w:rPr/>
      </w:pPr>
      <w:r>
        <w:rPr/>
        <w:t>Generally, should the Board’s final rule on intraday extensions of credit under Section 23A reflect the approach taken in the interim rules, the approach set forth in proposed Regulation W (an approach that more fully subjects intraday extensions of credit to Section 23A) or another approach?</w:t>
      </w:r>
    </w:p>
    <w:p>
      <w:pPr>
        <w:pStyle w:val="Normal"/>
        <w:rPr/>
      </w:pPr>
      <w:r>
        <w:rPr/>
      </w:r>
    </w:p>
    <w:p>
      <w:pPr>
        <w:pStyle w:val="Normal"/>
        <w:numPr>
          <w:ilvl w:val="2"/>
          <w:numId w:val="2"/>
        </w:numPr>
        <w:tabs>
          <w:tab w:val="clear" w:pos="720"/>
        </w:tabs>
        <w:ind w:hanging="360" w:start="720" w:end="0"/>
        <w:rPr/>
      </w:pPr>
      <w:r>
        <w:rPr/>
        <w:t>Do banks have the capabilities to measure intraday exposures across multiple accounts, offices and systems on a global basis and to adjust collateral holdings in real time throughout the day?</w:t>
      </w:r>
    </w:p>
    <w:p>
      <w:pPr>
        <w:pStyle w:val="Normal"/>
        <w:rPr/>
      </w:pPr>
      <w:r>
        <w:rPr/>
      </w:r>
    </w:p>
    <w:p>
      <w:pPr>
        <w:pStyle w:val="Normal"/>
        <w:numPr>
          <w:ilvl w:val="3"/>
          <w:numId w:val="2"/>
        </w:numPr>
        <w:tabs>
          <w:tab w:val="clear" w:pos="720"/>
        </w:tabs>
        <w:ind w:hanging="450" w:start="1080" w:end="0"/>
        <w:rPr/>
      </w:pPr>
      <w:r>
        <w:rPr/>
        <w:t>If banks do not have these capabilities, would such capabilities be costly to implement?</w:t>
      </w:r>
    </w:p>
    <w:p>
      <w:pPr>
        <w:pStyle w:val="Normal"/>
        <w:rPr/>
      </w:pPr>
      <w:r>
        <w:rPr/>
      </w:r>
    </w:p>
    <w:p>
      <w:pPr>
        <w:pStyle w:val="Normal"/>
        <w:numPr>
          <w:ilvl w:val="2"/>
          <w:numId w:val="2"/>
        </w:numPr>
        <w:tabs>
          <w:tab w:val="clear" w:pos="720"/>
        </w:tabs>
        <w:ind w:hanging="360" w:start="720" w:end="0"/>
        <w:rPr/>
      </w:pPr>
      <w:r>
        <w:rPr/>
        <w:t>Under Regulation W, all intraday credit extensions (on a worldwide basis) that exist at the end of the bank’s business day in the United States would become subject to Section 23A at that time.  Should Regulation W adopt a different rule for determining when an “intraday” exposure becomes an “overnight” exposure?</w:t>
      </w:r>
    </w:p>
    <w:p>
      <w:pPr>
        <w:pStyle w:val="Normal"/>
        <w:rPr/>
      </w:pPr>
      <w:r>
        <w:rPr/>
      </w:r>
    </w:p>
    <w:p>
      <w:pPr>
        <w:pStyle w:val="Normal"/>
        <w:numPr>
          <w:ilvl w:val="2"/>
          <w:numId w:val="2"/>
        </w:numPr>
        <w:tabs>
          <w:tab w:val="clear" w:pos="720"/>
        </w:tabs>
        <w:ind w:hanging="360" w:start="720" w:end="0"/>
        <w:rPr/>
      </w:pPr>
      <w:r>
        <w:rPr/>
        <w:t>What prudent risk management measures have banks implemented to measure, monitor and limit intraday credit extensions to affiliates?</w:t>
      </w:r>
    </w:p>
    <w:p>
      <w:pPr>
        <w:pStyle w:val="Normal"/>
        <w:rPr/>
      </w:pPr>
      <w:r>
        <w:rPr/>
      </w:r>
    </w:p>
    <w:p>
      <w:pPr>
        <w:pStyle w:val="Normal"/>
        <w:numPr>
          <w:ilvl w:val="2"/>
          <w:numId w:val="2"/>
        </w:numPr>
        <w:tabs>
          <w:tab w:val="clear" w:pos="720"/>
        </w:tabs>
        <w:ind w:hanging="360" w:start="720" w:end="0"/>
        <w:rPr/>
      </w:pPr>
      <w:r>
        <w:rPr/>
        <w:t>Should other types of intraday credit, not related to payment transactions or securities clearing and settlement transactions effected through an affiliate’s transaction accounts at the bank, be exempt from the quantitative limits and collateral requirements of Section 23A?</w:t>
      </w:r>
    </w:p>
    <w:p>
      <w:pPr>
        <w:pStyle w:val="Normal"/>
        <w:rPr/>
      </w:pPr>
      <w:r>
        <w:rPr/>
      </w:r>
    </w:p>
    <w:p>
      <w:pPr>
        <w:pStyle w:val="Normal"/>
        <w:numPr>
          <w:ilvl w:val="2"/>
          <w:numId w:val="2"/>
        </w:numPr>
        <w:tabs>
          <w:tab w:val="clear" w:pos="720"/>
        </w:tabs>
        <w:ind w:hanging="360" w:start="720" w:end="0"/>
        <w:rPr/>
      </w:pPr>
      <w:r>
        <w:rPr/>
        <w:t>How long a transition period do banks need to put the necessary policies and procedures in place in order to take advantage of the exemption for intraday credit extensions?</w:t>
      </w:r>
    </w:p>
    <w:p>
      <w:pPr>
        <w:pStyle w:val="Normal"/>
        <w:rPr/>
      </w:pPr>
      <w:r>
        <w:rPr/>
      </w:r>
    </w:p>
    <w:p>
      <w:pPr>
        <w:pStyle w:val="Normal"/>
        <w:rPr/>
      </w:pPr>
      <w:r>
        <w:rPr/>
      </w:r>
    </w:p>
    <w:p>
      <w:pPr>
        <w:pStyle w:val="Normal"/>
        <w:keepNext w:val="true"/>
        <w:numPr>
          <w:ilvl w:val="0"/>
          <w:numId w:val="2"/>
        </w:numPr>
        <w:tabs>
          <w:tab w:val="clear" w:pos="720"/>
        </w:tabs>
        <w:ind w:hanging="446" w:start="446" w:end="0"/>
        <w:rPr/>
      </w:pPr>
      <w:r>
        <w:rPr>
          <w:u w:val="single"/>
        </w:rPr>
        <w:t>Interpretation that would expand the range of securities that an insured depository institution may purchase from an affiliate under the “readily identifiable and publicly available market quotation” exemption in Section 23A</w:t>
      </w:r>
      <w:r>
        <w:rPr/>
        <w:t>.</w:t>
      </w:r>
    </w:p>
    <w:p>
      <w:pPr>
        <w:pStyle w:val="Normal"/>
        <w:keepNext w:val="true"/>
        <w:rPr>
          <w:u w:val="single"/>
        </w:rPr>
      </w:pPr>
      <w:r>
        <w:rPr>
          <w:u w:val="single"/>
        </w:rPr>
      </w:r>
    </w:p>
    <w:p>
      <w:pPr>
        <w:pStyle w:val="Normal"/>
        <w:keepNext w:val="true"/>
        <w:ind w:start="360" w:end="0"/>
        <w:rPr/>
      </w:pPr>
      <w:r>
        <w:rPr/>
        <w:t>1.</w:t>
        <w:tab/>
        <w:t>What should the scope and conditions of the exemption be?</w:t>
      </w:r>
    </w:p>
    <w:p>
      <w:pPr>
        <w:pStyle w:val="Normal"/>
        <w:keepNext w:val="true"/>
        <w:rPr>
          <w:u w:val="single"/>
        </w:rPr>
      </w:pPr>
      <w:r>
        <w:rPr>
          <w:u w:val="single"/>
        </w:rPr>
      </w:r>
    </w:p>
    <w:p>
      <w:pPr>
        <w:pStyle w:val="Normal"/>
        <w:numPr>
          <w:ilvl w:val="0"/>
          <w:numId w:val="3"/>
        </w:numPr>
        <w:rPr/>
      </w:pPr>
      <w:r>
        <w:rPr/>
        <w:t>Should the exemption be limited to purchases from SEC registered U.S. broker-dealers?</w:t>
      </w:r>
    </w:p>
    <w:p>
      <w:pPr>
        <w:pStyle w:val="Normal"/>
        <w:ind w:start="360" w:end="0"/>
        <w:rPr/>
      </w:pPr>
      <w:r>
        <w:rPr/>
      </w:r>
    </w:p>
    <w:p>
      <w:pPr>
        <w:pStyle w:val="Normal"/>
        <w:numPr>
          <w:ilvl w:val="0"/>
          <w:numId w:val="3"/>
        </w:numPr>
        <w:rPr/>
      </w:pPr>
      <w:r>
        <w:rPr/>
        <w:t>Would it be appropriate to use independent dealer quotations to establish a market price for a security under the exemption?</w:t>
      </w:r>
    </w:p>
    <w:p>
      <w:pPr>
        <w:pStyle w:val="Normal"/>
        <w:rPr/>
      </w:pPr>
      <w:r>
        <w:rPr/>
      </w:r>
    </w:p>
    <w:p>
      <w:pPr>
        <w:pStyle w:val="Normal"/>
        <w:numPr>
          <w:ilvl w:val="0"/>
          <w:numId w:val="3"/>
        </w:numPr>
        <w:rPr/>
      </w:pPr>
      <w:r>
        <w:rPr/>
        <w:t>Would it be appropriate to allow a bank to use the exemption to purchase asset-backed securities issued by an affiliate of the bank or to purchase securities issued by a mutual fund advised by the bank or an affiliate of the bank?</w:t>
      </w:r>
    </w:p>
    <w:p>
      <w:pPr>
        <w:pStyle w:val="Normal"/>
        <w:rPr/>
      </w:pPr>
      <w:r>
        <w:rPr/>
      </w:r>
    </w:p>
    <w:p>
      <w:pPr>
        <w:pStyle w:val="Normal"/>
        <w:ind w:hanging="450" w:start="450" w:end="0"/>
        <w:rPr/>
      </w:pPr>
      <w:r>
        <w:rPr/>
      </w:r>
    </w:p>
    <w:p>
      <w:pPr>
        <w:pStyle w:val="Normal"/>
        <w:ind w:hanging="450" w:start="450" w:end="0"/>
        <w:rPr/>
      </w:pPr>
      <w:r>
        <w:rPr/>
        <w:t xml:space="preserve">IV.  </w:t>
      </w:r>
      <w:r>
        <w:rPr>
          <w:u w:val="single"/>
        </w:rPr>
        <w:t>Definition of a covered transaction – cross-affiliate netting arrangements and cross-guarantee agreements.</w:t>
      </w:r>
    </w:p>
    <w:p>
      <w:pPr>
        <w:pStyle w:val="Normal"/>
        <w:ind w:start="360" w:end="0"/>
        <w:rPr>
          <w:u w:val="single"/>
        </w:rPr>
      </w:pPr>
      <w:r>
        <w:rPr>
          <w:u w:val="single"/>
        </w:rPr>
      </w:r>
    </w:p>
    <w:p>
      <w:pPr>
        <w:pStyle w:val="BodyTextIndent2"/>
        <w:ind w:start="720" w:end="0"/>
        <w:rPr/>
      </w:pPr>
      <w:r>
        <w:rPr/>
        <w:t xml:space="preserve">1.  The Board is of the opinion that cross-affiliate netting arrangements expose a bank to the credit risk of its affiliates.  Under these agreements, a bank may become obligated effectively to make good on the obligations of its affiliates.  According to the Board, the exposure of a bank to its affiliates in a cross-affiliate netting arrangement closely resembles the exposure of a bank when it issues a guarantee on behalf of an affiliate or extends credit to an affiliate.  Accordingly, the Board believes that cross-affiliate netting arrangements are credit transactions under Section 23A.  Therefore, the quantitative limits of Section 23A would prohibit a bank from entering into a cross-affiliate netting arrangement to the extent that the netting arrangement does not cap the potential exposure of the bank to the participating affiliates.  The Board likewise believes that cross-guarantee agreements among banks and their affiliates should be subject to the quantitative limits and collateral requirements of Section 23A. Would alternative treatments of cross-affiliate netting arrangements and cross-guarantee agreements under Section 23A be appropriate? </w:t>
      </w:r>
    </w:p>
    <w:p>
      <w:pPr>
        <w:pStyle w:val="Normal"/>
        <w:ind w:start="360" w:end="0"/>
        <w:rPr/>
      </w:pPr>
      <w:r>
        <w:rPr/>
      </w:r>
    </w:p>
    <w:p>
      <w:pPr>
        <w:pStyle w:val="Normal"/>
        <w:ind w:hanging="720" w:start="720" w:end="0"/>
        <w:rPr/>
      </w:pPr>
      <w:r>
        <w:rPr/>
      </w:r>
    </w:p>
    <w:p>
      <w:pPr>
        <w:pStyle w:val="Normal"/>
        <w:ind w:hanging="720" w:start="720" w:end="0"/>
        <w:rPr/>
      </w:pPr>
      <w:r>
        <w:rPr/>
        <w:t xml:space="preserve">V.  </w:t>
      </w:r>
      <w:r>
        <w:rPr>
          <w:u w:val="single"/>
        </w:rPr>
        <w:t>Definition of a covered transaction – extensions of credit.</w:t>
      </w:r>
    </w:p>
    <w:p>
      <w:pPr>
        <w:pStyle w:val="Normal"/>
        <w:ind w:hanging="300" w:start="720" w:end="0"/>
        <w:rPr>
          <w:u w:val="single"/>
        </w:rPr>
      </w:pPr>
      <w:r>
        <w:rPr>
          <w:u w:val="single"/>
        </w:rPr>
      </w:r>
    </w:p>
    <w:p>
      <w:pPr>
        <w:pStyle w:val="BodyTextIndent"/>
        <w:ind w:hanging="360" w:end="0"/>
        <w:rPr/>
      </w:pPr>
      <w:r>
        <w:rPr/>
        <w:t>1.</w:t>
        <w:tab/>
        <w:t xml:space="preserve">Should Regulation W require Section 23A collateralization in circumstances where a bank purchases an affiliate’s debt securities (a) from a third party in a </w:t>
      </w:r>
      <w:r>
        <w:rPr>
          <w:u w:val="single"/>
        </w:rPr>
        <w:t>bona</w:t>
      </w:r>
      <w:r>
        <w:rPr/>
        <w:t xml:space="preserve"> </w:t>
      </w:r>
      <w:r>
        <w:rPr>
          <w:u w:val="single"/>
        </w:rPr>
        <w:t>fide</w:t>
      </w:r>
      <w:r>
        <w:rPr/>
        <w:t xml:space="preserve"> secondary market transaction; or (b) pursuant to a registered public offering document or a private placement memorandum in an offering in which the affiliate receives significant participation from third parties?</w:t>
      </w:r>
    </w:p>
    <w:p>
      <w:pPr>
        <w:pStyle w:val="Normal"/>
        <w:ind w:hanging="300" w:start="720" w:end="0"/>
        <w:rPr/>
      </w:pPr>
      <w:r>
        <w:rPr/>
      </w:r>
    </w:p>
    <w:p>
      <w:pPr>
        <w:pStyle w:val="Normal"/>
        <w:ind w:hanging="300" w:start="720" w:end="0"/>
        <w:rPr/>
      </w:pPr>
      <w:r>
        <w:rPr/>
        <w:t>2.</w:t>
        <w:tab/>
        <w:t>Are other aspects of the definition of extension of credit in need of clarification?</w:t>
      </w:r>
    </w:p>
    <w:sectPr>
      <w:footerReference w:type="default" r:id="rId2"/>
      <w:footnotePr>
        <w:numFmt w:val="decimal"/>
      </w:footnotePr>
      <w:type w:val="nextPage"/>
      <w:pgSz w:w="12240" w:h="15840"/>
      <w:pgMar w:left="2160" w:right="1440" w:gutter="0" w:header="0" w:top="1915" w:footer="965"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NY12532:298417.2</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ab/>
      </w:r>
      <w:r>
        <w:rPr>
          <w:sz w:val="20"/>
        </w:rPr>
        <w:t>The Board’s interim rule on bank-affiliate derivatives defines the term by reference to the definition of “derivative contract” in the capital guidelines of the Federal banking agencies (“Capital Guidelines”).  The definition contained in the Capital Guidelines covers swaps, forwards, options, and other similar contracts on an interest rate, currency, equity, or commodity.  The interim rule supplements the definition contained in the Capital Guidelines by also including “any similar derivative contract, including credit derivative contracts.”  This supplementation recognizes that derivative instruments evolve in response to the needs of the financial marketplace.  Other options would include defining derivative transaction by reference to the definition of “qualified financial contract” or “swap agreement” in the Federal Deposit Insurance Act or to borrow from definitions contained in the Bankruptcy Code.  Another option would involve taking a broad, functional approach that defines a derivative transaction as “a bilateral contract the value of which derives from the value of some underlying security, financial instrument, rate, index, event, commodity, or other  asset or indicator.”</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360" w:hanging="360"/>
      </w:pPr>
    </w:lvl>
    <w:lvl w:ilvl="1">
      <w:start w:val="1"/>
      <w:numFmt w:val="upperLetter"/>
      <w:lvlText w:val="%2."/>
      <w:lvlJc w:val="start"/>
      <w:pPr>
        <w:tabs>
          <w:tab w:val="num" w:pos="1080"/>
        </w:tabs>
        <w:ind w:start="1080" w:hanging="720"/>
      </w:pPr>
    </w:lvl>
    <w:lvl w:ilvl="2">
      <w:start w:val="1"/>
      <w:numFmt w:val="decimal"/>
      <w:lvlText w:val="%3."/>
      <w:lvlJc w:val="start"/>
      <w:pPr>
        <w:tabs>
          <w:tab w:val="num" w:pos="1800"/>
        </w:tabs>
        <w:ind w:start="1800" w:hanging="720"/>
      </w:pPr>
    </w:lvl>
    <w:lvl w:ilvl="3">
      <w:start w:val="1"/>
      <w:numFmt w:val="lowerRoman"/>
      <w:lvlText w:val="(%4)"/>
      <w:lvlJc w:val="start"/>
      <w:pPr>
        <w:tabs>
          <w:tab w:val="num" w:pos="2520"/>
        </w:tabs>
        <w:ind w:start="252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2"/>
      <w:numFmt w:val="decimal"/>
      <w:lvlText w:val="%1."/>
      <w:lvlJc w:val="start"/>
      <w:pPr>
        <w:tabs>
          <w:tab w:val="num" w:pos="720"/>
        </w:tabs>
        <w:ind w:start="720" w:hanging="360"/>
      </w:pPr>
      <w:rPr/>
    </w:lvl>
    <w:lvl w:ilvl="1">
      <w:start w:val="1"/>
      <w:numFmt w:val="upperLetter"/>
      <w:lvlText w:val="%2."/>
      <w:lvlJc w:val="start"/>
      <w:pPr>
        <w:tabs>
          <w:tab w:val="num" w:pos="1080"/>
        </w:tabs>
        <w:ind w:start="1080" w:hanging="720"/>
      </w:pPr>
    </w:lvl>
    <w:lvl w:ilvl="2">
      <w:start w:val="1"/>
      <w:numFmt w:val="decimal"/>
      <w:lvlText w:val="%3."/>
      <w:lvlJc w:val="start"/>
      <w:pPr>
        <w:tabs>
          <w:tab w:val="num" w:pos="1800"/>
        </w:tabs>
        <w:ind w:start="1800" w:hanging="720"/>
      </w:pPr>
    </w:lvl>
    <w:lvl w:ilvl="3">
      <w:start w:val="1"/>
      <w:numFmt w:val="lowerRoman"/>
      <w:lvlText w:val="(%4)"/>
      <w:lvlJc w:val="start"/>
      <w:pPr>
        <w:tabs>
          <w:tab w:val="num" w:pos="2520"/>
        </w:tabs>
        <w:ind w:start="252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ind w:hanging="0" w:start="720" w:end="0"/>
      <w:outlineLvl w:val="1"/>
    </w:pPr>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4"/>
    </w:rPr>
  </w:style>
  <w:style w:type="paragraph" w:styleId="Heading6">
    <w:name w:val="heading 6"/>
    <w:basedOn w:val="Normal"/>
    <w:next w:val="Normal"/>
    <w:qFormat/>
    <w:pPr>
      <w:numPr>
        <w:ilvl w:val="5"/>
        <w:numId w:val="1"/>
      </w:numPr>
      <w:spacing w:before="240" w:after="60"/>
      <w:outlineLvl w:val="5"/>
    </w:pPr>
    <w:rPr>
      <w:i/>
      <w:sz w:val="24"/>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sz w:val="24"/>
    </w:rPr>
  </w:style>
  <w:style w:type="paragraph" w:styleId="Heading9">
    <w:name w:val="heading 9"/>
    <w:basedOn w:val="Normal"/>
    <w:next w:val="Normal"/>
    <w:qFormat/>
    <w:pPr>
      <w:numPr>
        <w:ilvl w:val="8"/>
        <w:numId w:val="1"/>
      </w:numPr>
      <w:spacing w:before="240" w:after="60"/>
      <w:outlineLvl w:val="8"/>
    </w:pPr>
    <w:rPr>
      <w:b/>
      <w:i/>
      <w:sz w:val="24"/>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3z0">
    <w:name w:val="WW8Num1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tyle>
  <w:style w:type="paragraph" w:styleId="BodyText5LA">
    <w:name w:val="!Body Text .5(LA)"/>
    <w:basedOn w:val="BodyText5J"/>
    <w:qFormat/>
    <w:pPr>
      <w:jc w:val="start"/>
    </w:pPr>
    <w:rPr/>
  </w:style>
  <w:style w:type="paragraph" w:styleId="BodyText1J">
    <w:name w:val="!Body Text 1(J)"/>
    <w:basedOn w:val="Normal"/>
    <w:qFormat/>
    <w:pPr>
      <w:spacing w:before="0" w:after="240"/>
      <w:ind w:firstLine="1440" w:start="0" w:end="0"/>
      <w:jc w:val="both"/>
    </w:pPr>
    <w:rPr/>
  </w:style>
  <w:style w:type="paragraph" w:styleId="BodyText1LA">
    <w:name w:val="!Body Text 1(LA)"/>
    <w:basedOn w:val="BodyText1J"/>
    <w:qFormat/>
    <w:pPr>
      <w:jc w:val="start"/>
    </w:pPr>
    <w:rPr/>
  </w:style>
  <w:style w:type="paragraph" w:styleId="BodyTextJ">
    <w:name w:val="!Body Text(J)"/>
    <w:basedOn w:val="Normal"/>
    <w:qFormat/>
    <w:pPr>
      <w:spacing w:before="0" w:after="240"/>
      <w:jc w:val="both"/>
    </w:pPr>
    <w:rPr/>
  </w:style>
  <w:style w:type="paragraph" w:styleId="BodyTextLA">
    <w:name w:val="!Body Text(LA)"/>
    <w:basedOn w:val="BodyTextJ"/>
    <w:qFormat/>
    <w:pPr>
      <w:jc w:val="start"/>
    </w:pPr>
    <w:rPr/>
  </w:style>
  <w:style w:type="paragraph" w:styleId="Date">
    <w:name w:val="!Date"/>
    <w:basedOn w:val="Normal"/>
    <w:qFormat/>
    <w:pPr>
      <w:keepNext w:val="true"/>
      <w:spacing w:before="0" w:after="480"/>
      <w:ind w:hanging="0" w:start="6480" w:end="0"/>
    </w:pPr>
    <w:rPr/>
  </w:style>
  <w:style w:type="paragraph" w:styleId="IndentedQuote">
    <w:name w:val="!Indented Quote"/>
    <w:basedOn w:val="Normal"/>
    <w:qFormat/>
    <w:pPr>
      <w:spacing w:before="0" w:after="240"/>
      <w:ind w:hanging="0" w:start="1440" w:end="1440"/>
    </w:pPr>
    <w:rPr/>
  </w:style>
  <w:style w:type="paragraph" w:styleId="ReLine">
    <w:name w:val="!Re Line"/>
    <w:basedOn w:val="BodyTextJ"/>
    <w:qFormat/>
    <w:pPr>
      <w:ind w:hanging="720" w:start="2160" w:end="2160"/>
      <w:jc w:val="start"/>
    </w:pPr>
    <w:rPr/>
  </w:style>
  <w:style w:type="paragraph" w:styleId="SignatureLA">
    <w:name w:val="!Signature(LA)"/>
    <w:basedOn w:val="Normal"/>
    <w:qFormat/>
    <w:pPr>
      <w:keepLines/>
      <w:tabs>
        <w:tab w:val="clear" w:pos="720"/>
        <w:tab w:val="right" w:pos="2880" w:leader="none"/>
      </w:tabs>
      <w:spacing w:before="720" w:after="0"/>
      <w:ind w:hanging="547" w:start="540" w:end="0"/>
    </w:pPr>
    <w:rPr/>
  </w:style>
  <w:style w:type="paragraph" w:styleId="Signature">
    <w:name w:val="!Signature"/>
    <w:basedOn w:val="Normal"/>
    <w:qFormat/>
    <w:pPr>
      <w:keepLines/>
      <w:tabs>
        <w:tab w:val="clear" w:pos="720"/>
        <w:tab w:val="right" w:pos="8640" w:leader="none"/>
      </w:tabs>
      <w:spacing w:before="720" w:after="0"/>
      <w:ind w:hanging="547" w:start="4867" w:end="0"/>
    </w:pPr>
    <w:rPr/>
  </w:style>
  <w:style w:type="paragraph" w:styleId="Title">
    <w:name w:val="!Title"/>
    <w:basedOn w:val="Normal"/>
    <w:qFormat/>
    <w:pPr>
      <w:keepNext w:val="true"/>
      <w:keepLines/>
      <w:spacing w:before="120" w:after="240"/>
      <w:jc w:val="center"/>
    </w:pPr>
    <w:rPr/>
  </w:style>
  <w:style w:type="paragraph" w:styleId="TitleB">
    <w:name w:val="!Title(B)"/>
    <w:basedOn w:val="Title"/>
    <w:qFormat/>
    <w:pPr/>
    <w:rPr>
      <w:b/>
      <w:caps/>
    </w:rPr>
  </w:style>
  <w:style w:type="paragraph" w:styleId="BodyTextFirstIndent">
    <w:name w:val="Body Text First Indent"/>
    <w:basedOn w:val="BodyText"/>
    <w:qFormat/>
    <w:pPr>
      <w:ind w:firstLine="210" w:start="0" w:end="0"/>
    </w:pPr>
    <w:rPr/>
  </w:style>
  <w:style w:type="paragraph" w:styleId="FootnoteText">
    <w:name w:val="footnote text"/>
    <w:basedOn w:val="Normal"/>
    <w:pPr>
      <w:ind w:hanging="720" w:start="720" w:end="0"/>
    </w:pPr>
    <w:rPr/>
  </w:style>
  <w:style w:type="paragraph" w:styleId="BodyTextIndent">
    <w:name w:val="Body Text Indent"/>
    <w:basedOn w:val="Normal"/>
    <w:pPr>
      <w:ind w:hanging="300" w:start="720" w:end="0"/>
    </w:pPr>
    <w:rPr/>
  </w:style>
  <w:style w:type="paragraph" w:styleId="BodyTextIndent2">
    <w:name w:val="Body Text Indent 2"/>
    <w:basedOn w:val="Normal"/>
    <w:qFormat/>
    <w:pPr>
      <w:ind w:hanging="360" w:start="10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2001-05-21T13:41:00Z</dcterms:created>
  <dc:creator>Information Services</dc:creator>
  <dc:description/>
  <dc:language>en-CA</dc:language>
  <cp:lastModifiedBy>Stacy Carey</cp:lastModifiedBy>
  <cp:lastPrinted>2001-05-15T21:22:00Z</cp:lastPrinted>
  <dcterms:modified xsi:type="dcterms:W3CDTF">2001-05-21T13:41:00Z</dcterms:modified>
  <cp:revision>2</cp:revision>
  <dc:subject/>
  <dc:title>International Swaps and Derivatives Association</dc:title>
</cp:coreProperties>
</file>