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Section 214 Licensing</w:t>
      </w:r>
    </w:p>
    <w:p>
      <w:pPr>
        <w:pStyle w:val="Normal"/>
        <w:rPr>
          <w:b/>
          <w:sz w:val="28"/>
          <w:u w:val="single"/>
        </w:rPr>
      </w:pPr>
      <w:r>
        <w:rPr>
          <w:b/>
          <w:sz w:val="28"/>
          <w:u w:val="single"/>
        </w:rPr>
      </w:r>
    </w:p>
    <w:p>
      <w:pPr>
        <w:pStyle w:val="Normal"/>
        <w:numPr>
          <w:ilvl w:val="0"/>
          <w:numId w:val="1"/>
        </w:numPr>
        <w:tabs>
          <w:tab w:val="clear" w:pos="720"/>
        </w:tabs>
        <w:rPr>
          <w:sz w:val="24"/>
        </w:rPr>
      </w:pPr>
      <w:r>
        <w:rPr>
          <w:sz w:val="24"/>
        </w:rPr>
        <w:t>Providing a telecommunications service to the public for a fee requires a company to obtain a section 214 license.</w:t>
      </w:r>
    </w:p>
    <w:p>
      <w:pPr>
        <w:pStyle w:val="Normal"/>
        <w:rPr>
          <w:sz w:val="24"/>
        </w:rPr>
      </w:pPr>
      <w:r>
        <w:rPr>
          <w:sz w:val="24"/>
        </w:rPr>
      </w:r>
    </w:p>
    <w:p>
      <w:pPr>
        <w:pStyle w:val="Normal"/>
        <w:numPr>
          <w:ilvl w:val="0"/>
          <w:numId w:val="1"/>
        </w:numPr>
        <w:rPr>
          <w:sz w:val="24"/>
        </w:rPr>
      </w:pPr>
      <w:r>
        <w:rPr>
          <w:sz w:val="24"/>
        </w:rPr>
        <w:t xml:space="preserve">An </w:t>
      </w:r>
      <w:r>
        <w:rPr>
          <w:i/>
          <w:sz w:val="24"/>
        </w:rPr>
        <w:t>exception</w:t>
      </w:r>
      <w:r>
        <w:rPr>
          <w:sz w:val="24"/>
        </w:rPr>
        <w:t xml:space="preserve"> to the rule involves a wholly owned (</w:t>
      </w:r>
      <w:r>
        <w:rPr>
          <w:i/>
          <w:sz w:val="24"/>
        </w:rPr>
        <w:t>i.e</w:t>
      </w:r>
      <w:r>
        <w:rPr>
          <w:sz w:val="24"/>
        </w:rPr>
        <w:t xml:space="preserve">., 100%) subsidiary that is able to operate under its parent’s license as long as it notifies the FCC within 30 days of initiating service.  </w:t>
      </w:r>
      <w:r>
        <w:rPr>
          <w:i/>
          <w:sz w:val="24"/>
        </w:rPr>
        <w:t>See</w:t>
      </w:r>
      <w:r>
        <w:rPr>
          <w:sz w:val="24"/>
        </w:rPr>
        <w:t xml:space="preserve"> 47 CFR 63.21(i); 47 CFR 63.24 (defining pro forma assignments and transfers of control); IB Docket No. 98-118, a.k.a. the “Streamlining Order” (adopting streamlined rules regarding international common carrier regulation).</w:t>
      </w:r>
    </w:p>
    <w:p>
      <w:pPr>
        <w:pStyle w:val="Normal"/>
        <w:rPr>
          <w:sz w:val="24"/>
        </w:rPr>
      </w:pPr>
      <w:r>
        <w:rPr>
          <w:sz w:val="24"/>
        </w:rPr>
      </w:r>
    </w:p>
    <w:p>
      <w:pPr>
        <w:pStyle w:val="Normal"/>
        <w:numPr>
          <w:ilvl w:val="0"/>
          <w:numId w:val="1"/>
        </w:numPr>
        <w:rPr>
          <w:sz w:val="24"/>
        </w:rPr>
      </w:pPr>
      <w:r>
        <w:rPr>
          <w:sz w:val="24"/>
        </w:rPr>
        <w:t xml:space="preserve">An authorized carrier seeking to provide service through a wholly owned subsidiary must, “within 30 days after the [wholly owned] subsidiary begins providing service, file a letter with the Secretary [of the FCC] in duplicate referencing the authorized carrier’s name and the FCC file numbers under which the carrier’s authorizations were granted and identifying the subsidiary’s name and place of legal organization.”  </w:t>
      </w:r>
    </w:p>
    <w:p>
      <w:pPr>
        <w:pStyle w:val="Normal"/>
        <w:ind w:firstLine="360" w:end="0"/>
        <w:rPr/>
      </w:pPr>
      <w:r>
        <w:rPr>
          <w:i/>
          <w:sz w:val="24"/>
        </w:rPr>
        <w:t>See</w:t>
      </w:r>
      <w:r>
        <w:rPr>
          <w:sz w:val="24"/>
        </w:rPr>
        <w:t xml:space="preserve"> 47 CFR 63.21 (i).</w:t>
      </w:r>
    </w:p>
    <w:p>
      <w:pPr>
        <w:pStyle w:val="Normal"/>
        <w:rPr>
          <w:sz w:val="24"/>
        </w:rPr>
      </w:pPr>
      <w:r>
        <w:rPr>
          <w:sz w:val="24"/>
        </w:rPr>
      </w:r>
    </w:p>
    <w:p>
      <w:pPr>
        <w:pStyle w:val="Normal"/>
        <w:numPr>
          <w:ilvl w:val="0"/>
          <w:numId w:val="1"/>
        </w:numPr>
        <w:rPr>
          <w:sz w:val="24"/>
        </w:rPr>
      </w:pPr>
      <w:r>
        <w:rPr>
          <w:sz w:val="24"/>
        </w:rPr>
        <w:t>If the company in question is not a wholly owned subsidiary, it must obtain a section 214 license before initiating service.</w:t>
      </w:r>
    </w:p>
    <w:p>
      <w:pPr>
        <w:pStyle w:val="Normal"/>
        <w:rPr>
          <w:sz w:val="24"/>
        </w:rPr>
      </w:pPr>
      <w:r>
        <w:rPr>
          <w:sz w:val="24"/>
        </w:rPr>
      </w:r>
    </w:p>
    <w:p>
      <w:pPr>
        <w:pStyle w:val="Normal"/>
        <w:numPr>
          <w:ilvl w:val="0"/>
          <w:numId w:val="1"/>
        </w:numPr>
        <w:rPr>
          <w:sz w:val="24"/>
        </w:rPr>
      </w:pPr>
      <w:r>
        <w:rPr>
          <w:sz w:val="24"/>
        </w:rPr>
        <w:t>The origination of traffic from the U.S. and the termination of traffic in the U.S. require a 214 license.</w:t>
      </w:r>
    </w:p>
    <w:p>
      <w:pPr>
        <w:pStyle w:val="Normal"/>
        <w:rPr>
          <w:sz w:val="24"/>
        </w:rPr>
      </w:pPr>
      <w:r>
        <w:rPr>
          <w:sz w:val="24"/>
        </w:rPr>
      </w:r>
    </w:p>
    <w:p>
      <w:pPr>
        <w:pStyle w:val="Normal"/>
        <w:numPr>
          <w:ilvl w:val="0"/>
          <w:numId w:val="1"/>
        </w:numPr>
        <w:tabs>
          <w:tab w:val="left" w:pos="720" w:leader="none"/>
        </w:tabs>
        <w:ind w:hanging="360" w:start="720" w:end="0"/>
        <w:rPr>
          <w:sz w:val="24"/>
        </w:rPr>
      </w:pPr>
      <w:r>
        <w:rPr>
          <w:sz w:val="24"/>
        </w:rPr>
        <w:t>As a result, if a domestic/U.S. carrier seeks to provide service to a foreign point, it must obtain a 214 license; and if a foreign carrier seeks to provide service to the U.S., it must obtain a 214 license.</w:t>
      </w:r>
    </w:p>
    <w:p>
      <w:pPr>
        <w:pStyle w:val="Normal"/>
        <w:rPr>
          <w:sz w:val="24"/>
        </w:rPr>
      </w:pPr>
      <w:r>
        <w:rPr>
          <w:sz w:val="24"/>
        </w:rPr>
      </w:r>
    </w:p>
    <w:p>
      <w:pPr>
        <w:pStyle w:val="Normal"/>
        <w:numPr>
          <w:ilvl w:val="0"/>
          <w:numId w:val="1"/>
        </w:numPr>
        <w:tabs>
          <w:tab w:val="left" w:pos="720" w:leader="none"/>
        </w:tabs>
        <w:ind w:hanging="360" w:start="720" w:end="0"/>
        <w:rPr>
          <w:sz w:val="24"/>
        </w:rPr>
      </w:pPr>
      <w:r>
        <w:rPr>
          <w:sz w:val="24"/>
        </w:rPr>
        <w:t xml:space="preserve">Please note: If a foreign company owned half circuits in 2 different countries and wanted to end service in the U.S. by just handing off traffic to a U.S. company with a section 214 authorization, that foreign company would not need to obtain its own 214 license. </w:t>
      </w:r>
    </w:p>
    <w:p>
      <w:pPr>
        <w:pStyle w:val="Normal"/>
        <w:rPr>
          <w:sz w:val="24"/>
        </w:rPr>
      </w:pPr>
      <w:r>
        <w:rPr>
          <w:sz w:val="24"/>
        </w:rPr>
      </w:r>
    </w:p>
    <w:p>
      <w:pPr>
        <w:pStyle w:val="Normal"/>
        <w:numPr>
          <w:ilvl w:val="0"/>
          <w:numId w:val="1"/>
        </w:numPr>
        <w:tabs>
          <w:tab w:val="left" w:pos="720" w:leader="none"/>
        </w:tabs>
        <w:ind w:hanging="360" w:start="720" w:end="0"/>
        <w:rPr>
          <w:sz w:val="24"/>
        </w:rPr>
      </w:pPr>
      <w:r>
        <w:rPr>
          <w:sz w:val="24"/>
        </w:rPr>
        <w:t xml:space="preserve">Please note – </w:t>
      </w:r>
      <w:r>
        <w:rPr>
          <w:i/>
          <w:sz w:val="24"/>
        </w:rPr>
        <w:t>e.g</w:t>
      </w:r>
      <w:r>
        <w:rPr>
          <w:sz w:val="24"/>
        </w:rPr>
        <w:t>., A foreign company resells private lines in a dedicated network and needs a matching half circuit in the United States. A domestic/U.S. carrier contracts with the U.S. customer so that the foreign company is only acting as an agent for the U.S. customer.  In this case, the foreign company would be viewed as an agent or a “carrier’s carrier” and would not need a 214 license since it would not be providing any service to the end-user.</w:t>
      </w:r>
    </w:p>
    <w:p>
      <w:pPr>
        <w:pStyle w:val="Normal"/>
        <w:rPr>
          <w:sz w:val="24"/>
        </w:rPr>
      </w:pPr>
      <w:r>
        <w:rPr>
          <w:sz w:val="24"/>
        </w:rPr>
      </w:r>
    </w:p>
    <w:p>
      <w:pPr>
        <w:pStyle w:val="Normal"/>
        <w:numPr>
          <w:ilvl w:val="0"/>
          <w:numId w:val="4"/>
        </w:numPr>
        <w:rPr>
          <w:sz w:val="24"/>
        </w:rPr>
      </w:pPr>
      <w:r>
        <w:rPr>
          <w:sz w:val="24"/>
        </w:rPr>
        <w:t>U.S. carriers with section 214 authorizations must continue to notify the FCC when acquiring a 25% or greater interest directly or indirectly in a foreign affiliate/carrier, or when a foreign affiliate/carrier acquires a 25% or greater interest in the U.S. carrier 45 days prior to said investment unless one of the following 3 exceptions applies:</w:t>
      </w:r>
    </w:p>
    <w:p>
      <w:pPr>
        <w:pStyle w:val="Normal"/>
        <w:rPr>
          <w:sz w:val="24"/>
        </w:rPr>
      </w:pPr>
      <w:r>
        <w:rPr>
          <w:sz w:val="24"/>
        </w:rPr>
      </w:r>
    </w:p>
    <w:p>
      <w:pPr>
        <w:pStyle w:val="Normal"/>
        <w:numPr>
          <w:ilvl w:val="0"/>
          <w:numId w:val="3"/>
        </w:numPr>
        <w:tabs>
          <w:tab w:val="left" w:pos="720" w:leader="none"/>
        </w:tabs>
        <w:ind w:hanging="360" w:start="720" w:end="0"/>
        <w:rPr>
          <w:sz w:val="24"/>
        </w:rPr>
      </w:pPr>
      <w:r>
        <w:rPr>
          <w:sz w:val="24"/>
        </w:rPr>
        <w:t>The foreign company is located in a country that is a WTO member;</w:t>
      </w:r>
    </w:p>
    <w:p>
      <w:pPr>
        <w:pStyle w:val="Normal"/>
        <w:ind w:start="360" w:end="0"/>
        <w:rPr>
          <w:sz w:val="24"/>
        </w:rPr>
      </w:pPr>
      <w:r>
        <w:rPr>
          <w:sz w:val="24"/>
        </w:rPr>
      </w:r>
    </w:p>
    <w:p>
      <w:pPr>
        <w:pStyle w:val="Normal"/>
        <w:numPr>
          <w:ilvl w:val="0"/>
          <w:numId w:val="3"/>
        </w:numPr>
        <w:tabs>
          <w:tab w:val="left" w:pos="720" w:leader="none"/>
        </w:tabs>
        <w:ind w:hanging="360" w:start="720" w:end="0"/>
        <w:rPr>
          <w:sz w:val="24"/>
        </w:rPr>
      </w:pPr>
      <w:r>
        <w:rPr>
          <w:sz w:val="24"/>
        </w:rPr>
        <w:t>The foreign company does not have any market power; or</w:t>
      </w:r>
    </w:p>
    <w:p>
      <w:pPr>
        <w:pStyle w:val="Normal"/>
        <w:rPr>
          <w:sz w:val="24"/>
        </w:rPr>
      </w:pPr>
      <w:r>
        <w:rPr>
          <w:sz w:val="24"/>
        </w:rPr>
      </w:r>
    </w:p>
    <w:p>
      <w:pPr>
        <w:pStyle w:val="Normal"/>
        <w:numPr>
          <w:ilvl w:val="0"/>
          <w:numId w:val="3"/>
        </w:numPr>
        <w:tabs>
          <w:tab w:val="left" w:pos="720" w:leader="none"/>
        </w:tabs>
        <w:ind w:hanging="360" w:start="720" w:end="0"/>
        <w:rPr>
          <w:sz w:val="24"/>
        </w:rPr>
      </w:pPr>
      <w:r>
        <w:rPr>
          <w:sz w:val="24"/>
        </w:rPr>
        <w:t>The foreign company has agreed to be subject to dominant carrier regulation.</w:t>
      </w:r>
    </w:p>
    <w:p>
      <w:pPr>
        <w:pStyle w:val="Normal"/>
        <w:rPr>
          <w:sz w:val="24"/>
        </w:rPr>
      </w:pPr>
      <w:r>
        <w:rPr>
          <w:sz w:val="24"/>
        </w:rPr>
      </w:r>
    </w:p>
    <w:p>
      <w:pPr>
        <w:pStyle w:val="Normal"/>
        <w:ind w:start="360" w:end="0"/>
        <w:rPr/>
      </w:pPr>
      <w:r>
        <w:rPr>
          <w:i/>
          <w:sz w:val="24"/>
        </w:rPr>
        <w:t>See</w:t>
      </w:r>
      <w:r>
        <w:rPr>
          <w:sz w:val="24"/>
        </w:rPr>
        <w:t xml:space="preserve"> IB Docket No. 97-142, Reconsideration Order on Foreign Participation in the U.S. Telecommunications Market, adopted September 12, 2000. </w:t>
      </w:r>
    </w:p>
    <w:p>
      <w:pPr>
        <w:pStyle w:val="Normal"/>
        <w:rPr>
          <w:sz w:val="24"/>
        </w:rPr>
      </w:pPr>
      <w:r>
        <w:rPr>
          <w:sz w:val="24"/>
        </w:rPr>
      </w:r>
    </w:p>
    <w:p>
      <w:pPr>
        <w:pStyle w:val="Normal"/>
        <w:numPr>
          <w:ilvl w:val="0"/>
          <w:numId w:val="2"/>
        </w:numPr>
        <w:tabs>
          <w:tab w:val="left" w:pos="720" w:leader="none"/>
        </w:tabs>
        <w:ind w:hanging="360" w:start="720" w:end="0"/>
        <w:rPr>
          <w:sz w:val="24"/>
        </w:rPr>
      </w:pPr>
      <w:r>
        <w:rPr>
          <w:sz w:val="24"/>
        </w:rPr>
        <w:t>If one of the three exceptions listed above applies, the U.S. carrier is permitted to notify the FCC of the investment within 30 days after-the-fact; however, the ownership relationship must be reported.</w:t>
      </w:r>
    </w:p>
    <w:p>
      <w:pPr>
        <w:pStyle w:val="Normal"/>
        <w:ind w:start="360" w:end="0"/>
        <w:rPr>
          <w:sz w:val="24"/>
        </w:rPr>
      </w:pPr>
      <w:r>
        <w:rPr>
          <w:sz w:val="24"/>
        </w:rPr>
      </w:r>
    </w:p>
    <w:p>
      <w:pPr>
        <w:pStyle w:val="Normal"/>
        <w:numPr>
          <w:ilvl w:val="0"/>
          <w:numId w:val="2"/>
        </w:numPr>
        <w:tabs>
          <w:tab w:val="left" w:pos="720" w:leader="none"/>
        </w:tabs>
        <w:ind w:hanging="360" w:start="720" w:end="0"/>
        <w:rPr>
          <w:sz w:val="24"/>
        </w:rPr>
      </w:pPr>
      <w:r>
        <w:rPr>
          <w:sz w:val="24"/>
        </w:rPr>
        <w:t xml:space="preserve">IB Docket No. 97-142 further revised 47 CFR 63.11 to require notification of subsequent affiliations or the case where a given affiliation is abandoned. </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2000-11-29T18:01:00Z</dcterms:created>
  <dc:creator>Lara Leibman</dc:creator>
  <dc:description/>
  <dc:language>en-CA</dc:language>
  <cp:lastModifiedBy>lleibman</cp:lastModifiedBy>
  <dcterms:modified xsi:type="dcterms:W3CDTF">2000-11-30T22:02:00Z</dcterms:modified>
  <cp:revision>17</cp:revision>
  <dc:subject/>
  <dc:title>Section 214 Licensing</dc:title>
</cp:coreProperties>
</file>