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055" w:type="dxa"/>
        <w:jc w:val="start"/>
        <w:tblInd w:w="-15" w:type="dxa"/>
        <w:tblLayout w:type="fixed"/>
        <w:tblCellMar>
          <w:top w:w="0" w:type="dxa"/>
          <w:start w:w="0" w:type="dxa"/>
          <w:bottom w:w="0" w:type="dxa"/>
          <w:end w:w="0" w:type="dxa"/>
        </w:tblCellMar>
      </w:tblPr>
      <w:tblGrid>
        <w:gridCol w:w="8055"/>
      </w:tblGrid>
      <w:tr>
        <w:trPr/>
        <w:tc>
          <w:tcPr>
            <w:tcW w:w="8055" w:type="dxa"/>
            <w:tcBorders/>
            <w:vAlign w:val="center"/>
          </w:tcPr>
          <w:p>
            <w:pPr>
              <w:pStyle w:val="Normal"/>
              <w:rPr/>
            </w:pPr>
            <w:r>
              <w:rPr/>
              <w:drawing>
                <wp:inline distT="0" distB="0" distL="0" distR="0">
                  <wp:extent cx="5095875" cy="295275"/>
                  <wp:effectExtent l="0" t="0" r="0" b="0"/>
                  <wp:docPr id="1" name="testbanner5shor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anner5short" descr="" title=""/>
                          <pic:cNvPicPr>
                            <a:picLocks noChangeAspect="1" noChangeArrowheads="1"/>
                          </pic:cNvPicPr>
                        </pic:nvPicPr>
                        <pic:blipFill>
                          <a:blip r:embed="rId2"/>
                          <a:srcRect l="-7" t="-122" r="-7" b="-122"/>
                          <a:stretch>
                            <a:fillRect/>
                          </a:stretch>
                        </pic:blipFill>
                        <pic:spPr bwMode="auto">
                          <a:xfrm>
                            <a:off x="0" y="0"/>
                            <a:ext cx="5095875" cy="295275"/>
                          </a:xfrm>
                          <a:prstGeom prst="rect">
                            <a:avLst/>
                          </a:prstGeom>
                          <a:noFill/>
                        </pic:spPr>
                      </pic:pic>
                    </a:graphicData>
                  </a:graphic>
                </wp:inline>
              </w:drawing>
            </w:r>
          </w:p>
        </w:tc>
      </w:tr>
    </w:tbl>
    <w:p>
      <w:pPr>
        <w:pStyle w:val="Normal"/>
        <w:rPr>
          <w:vanish/>
        </w:rPr>
      </w:pPr>
      <w:r>
        <w:rPr>
          <w:vanish/>
        </w:rPr>
      </w:r>
    </w:p>
    <w:tbl>
      <w:tblPr>
        <w:tblW w:w="6180" w:type="dxa"/>
        <w:jc w:val="start"/>
        <w:tblInd w:w="-45" w:type="dxa"/>
        <w:tblLayout w:type="fixed"/>
        <w:tblCellMar>
          <w:top w:w="15" w:type="dxa"/>
          <w:start w:w="15" w:type="dxa"/>
          <w:bottom w:w="15" w:type="dxa"/>
          <w:end w:w="15" w:type="dxa"/>
        </w:tblCellMar>
      </w:tblPr>
      <w:tblGrid>
        <w:gridCol w:w="781"/>
        <w:gridCol w:w="5399"/>
      </w:tblGrid>
      <w:tr>
        <w:trPr/>
        <w:tc>
          <w:tcPr>
            <w:tcW w:w="781" w:type="dxa"/>
            <w:tcBorders/>
            <w:shd w:fill="FFFFFF" w:val="clear"/>
            <w:vAlign w:val="center"/>
          </w:tcPr>
          <w:p>
            <w:pPr>
              <w:pStyle w:val="Normal"/>
              <w:snapToGrid w:val="false"/>
              <w:rPr/>
            </w:pPr>
            <w:r>
              <w:rPr/>
            </w:r>
          </w:p>
        </w:tc>
        <w:tc>
          <w:tcPr>
            <w:tcW w:w="5399" w:type="dxa"/>
            <w:tcBorders/>
            <w:shd w:fill="FFFFFF" w:val="clear"/>
            <w:vAlign w:val="center"/>
          </w:tcPr>
          <w:p>
            <w:pPr>
              <w:pStyle w:val="Normal"/>
              <w:snapToGrid w:val="false"/>
              <w:rPr/>
            </w:pPr>
            <w:r>
              <w:rPr/>
            </w:r>
          </w:p>
        </w:tc>
      </w:tr>
    </w:tbl>
    <w:p>
      <w:pPr>
        <w:pStyle w:val="Normal"/>
        <w:rPr>
          <w:vanish/>
        </w:rPr>
      </w:pPr>
      <w:r>
        <w:rPr>
          <w:vanish/>
        </w:rPr>
      </w:r>
    </w:p>
    <w:tbl>
      <w:tblPr>
        <w:tblW w:w="7605" w:type="dxa"/>
        <w:jc w:val="start"/>
        <w:tblInd w:w="-45" w:type="dxa"/>
        <w:tblLayout w:type="fixed"/>
        <w:tblCellMar>
          <w:top w:w="15" w:type="dxa"/>
          <w:start w:w="15" w:type="dxa"/>
          <w:bottom w:w="15" w:type="dxa"/>
          <w:end w:w="15" w:type="dxa"/>
        </w:tblCellMar>
      </w:tblPr>
      <w:tblGrid>
        <w:gridCol w:w="7605"/>
      </w:tblGrid>
      <w:tr>
        <w:trPr>
          <w:trHeight w:val="11118" w:hRule="atLeast"/>
        </w:trPr>
        <w:tc>
          <w:tcPr>
            <w:tcW w:w="7605" w:type="dxa"/>
            <w:tcBorders/>
            <w:vAlign w:val="center"/>
          </w:tcPr>
          <w:p>
            <w:pPr>
              <w:pStyle w:val="Normal"/>
              <w:rPr/>
            </w:pPr>
            <w:r>
              <w:rPr>
                <w:b/>
                <w:bCs/>
                <w:color w:val="032B53"/>
                <w:szCs w:val="48"/>
              </w:rPr>
              <w:t>R</w:t>
            </w:r>
            <w:r>
              <w:rPr>
                <w:b/>
                <w:bCs/>
                <w:color w:val="032B53"/>
                <w:szCs w:val="36"/>
              </w:rPr>
              <w:t>evised Section 106 Regulations, Final Rule</w:t>
            </w:r>
            <w:r>
              <w:rPr>
                <w:b/>
                <w:bCs/>
                <w:color w:val="032B53"/>
              </w:rPr>
              <w:br/>
              <w:t>(Effective January 11, 2001)</w:t>
            </w:r>
            <w:r>
              <w:rPr>
                <w:b/>
                <w:bCs/>
              </w:rPr>
              <w:t xml:space="preserve"> </w:t>
            </w:r>
          </w:p>
          <w:p>
            <w:pPr>
              <w:pStyle w:val="Normal"/>
              <w:rPr>
                <w:b/>
                <w:bCs/>
              </w:rPr>
            </w:pPr>
            <w:r>
              <w:rPr>
                <w:b/>
                <w:bCs/>
              </w:rPr>
              <mc:AlternateContent>
                <mc:Choice Requires="wps">
                  <w:drawing>
                    <wp:inline distT="0" distB="0" distL="0" distR="0">
                      <wp:extent cx="3352800" cy="7620"/>
                      <wp:effectExtent l="0" t="0" r="0" b="0"/>
                      <wp:docPr id="2" name=""/>
                      <a:graphic xmlns:a="http://schemas.openxmlformats.org/drawingml/2006/main">
                        <a:graphicData uri="http://schemas.microsoft.com/office/word/2010/wordprocessingShape">
                          <wps:wsp>
                            <wps:cNvSpPr/>
                            <wps:spPr>
                              <a:xfrm>
                                <a:off x="0" y="0"/>
                                <a:ext cx="3352680" cy="7560"/>
                              </a:xfrm>
                              <a:prstGeom prst="rect">
                                <a:avLst/>
                              </a:prstGeom>
                              <a:solidFill>
                                <a:srgbClr val="907870"/>
                              </a:solidFill>
                              <a:ln w="0">
                                <a:noFill/>
                              </a:ln>
                            </wps:spPr>
                            <wps:style>
                              <a:lnRef idx="0"/>
                              <a:fillRef idx="0"/>
                              <a:effectRef idx="0"/>
                              <a:fontRef idx="minor"/>
                            </wps:style>
                            <wps:bodyPr/>
                          </wps:wsp>
                        </a:graphicData>
                      </a:graphic>
                    </wp:inline>
                  </w:drawing>
                </mc:Choice>
                <mc:Fallback>
                  <w:pict>
                    <v:rect id="shape_0" fillcolor="#907870" stroked="f" o:allowincell="f" style="position:absolute;margin-left:0pt;margin-top:-0.65pt;width:263.95pt;height:0.55pt;mso-wrap-style:none;v-text-anchor:middle;mso-position-vertical:top">
                      <v:fill o:detectmouseclick="t" type="solid" color2="#6f878f"/>
                      <v:stroke color="#3465a4" joinstyle="round" endcap="flat"/>
                      <w10:wrap type="square"/>
                    </v:rect>
                  </w:pict>
                </mc:Fallback>
              </mc:AlternateContent>
            </w:r>
          </w:p>
          <w:p>
            <w:pPr>
              <w:pStyle w:val="Normal"/>
              <w:rPr/>
            </w:pPr>
            <w:r>
              <w:rPr/>
              <mc:AlternateContent>
                <mc:Choice Requires="wps">
                  <w:drawing>
                    <wp:inline distT="0" distB="0" distL="0" distR="0">
                      <wp:extent cx="4114800" cy="19050"/>
                      <wp:effectExtent l="0" t="0" r="0" b="0"/>
                      <wp:docPr id="3" name=""/>
                      <a:graphic xmlns:a="http://schemas.openxmlformats.org/drawingml/2006/main">
                        <a:graphicData uri="http://schemas.microsoft.com/office/word/2010/wordprocessingShape">
                          <wps:wsp>
                            <wps:cNvSpPr/>
                            <wps:spPr>
                              <a:xfrm>
                                <a:off x="0" y="0"/>
                                <a:ext cx="4114800" cy="19080"/>
                              </a:xfrm>
                              <a:prstGeom prst="rect">
                                <a:avLst/>
                              </a:prstGeom>
                              <a:solidFill>
                                <a:srgbClr val="907870"/>
                              </a:solidFill>
                              <a:ln w="0">
                                <a:noFill/>
                              </a:ln>
                            </wps:spPr>
                            <wps:style>
                              <a:lnRef idx="0"/>
                              <a:fillRef idx="0"/>
                              <a:effectRef idx="0"/>
                              <a:fontRef idx="minor"/>
                            </wps:style>
                            <wps:bodyPr/>
                          </wps:wsp>
                        </a:graphicData>
                      </a:graphic>
                    </wp:inline>
                  </w:drawing>
                </mc:Choice>
                <mc:Fallback>
                  <w:pict>
                    <v:rect id="shape_0" fillcolor="#907870" stroked="f" o:allowincell="f" style="position:absolute;margin-left:0pt;margin-top:-1.55pt;width:323.95pt;height:1.45pt;mso-wrap-style:none;v-text-anchor:middle;mso-position-vertical:top">
                      <v:fill o:detectmouseclick="t" type="solid" color2="#6f878f"/>
                      <v:stroke color="#3465a4" joinstyle="round" endcap="flat"/>
                      <w10:wrap type="square"/>
                    </v:rect>
                  </w:pict>
                </mc:Fallback>
              </mc:AlternateContent>
            </w:r>
          </w:p>
          <w:p>
            <w:pPr>
              <w:pStyle w:val="Normal"/>
              <w:rPr>
                <w:b/>
                <w:bCs/>
                <w:szCs w:val="27"/>
              </w:rPr>
            </w:pPr>
            <w:r>
              <w:rPr>
                <w:b/>
                <w:bCs/>
                <w:szCs w:val="27"/>
              </w:rPr>
              <w:t xml:space="preserve">36 CFR PART 800—PROTECTION OF HISTORIC PROPERTIES </w:t>
            </w:r>
          </w:p>
          <w:p>
            <w:pPr>
              <w:pStyle w:val="Normal"/>
              <w:rPr/>
            </w:pPr>
            <w:r>
              <w:rPr>
                <w:b/>
                <w:bCs/>
                <w:color w:val="032B53"/>
              </w:rPr>
              <w:t>Subpart A—Purposes and Participants</w:t>
            </w:r>
            <w:r>
              <w:rPr/>
              <w:br/>
              <w:t>Sec.</w:t>
              <w:br/>
            </w:r>
            <w:r>
              <w:fldChar w:fldCharType="begin"/>
            </w:r>
            <w:r>
              <w:rPr>
                <w:rStyle w:val="Hyperlink"/>
              </w:rPr>
              <w:instrText xml:space="preserve"> HYPERLINK "http://www.achp.gov/" \l "800.1"</w:instrText>
            </w:r>
            <w:r>
              <w:rPr>
                <w:rStyle w:val="Hyperlink"/>
              </w:rPr>
              <w:fldChar w:fldCharType="separate"/>
            </w:r>
            <w:r>
              <w:rPr>
                <w:rStyle w:val="Hyperlink"/>
              </w:rPr>
              <w:t>800.1   Purposes.</w:t>
            </w:r>
            <w:r>
              <w:rPr>
                <w:rStyle w:val="Hyperlink"/>
              </w:rPr>
              <w:fldChar w:fldCharType="end"/>
            </w:r>
            <w:r>
              <w:rPr/>
              <w:t xml:space="preserve"> </w:t>
              <w:br/>
            </w:r>
            <w:r>
              <w:fldChar w:fldCharType="begin"/>
            </w:r>
            <w:r>
              <w:rPr>
                <w:rStyle w:val="Hyperlink"/>
              </w:rPr>
              <w:instrText xml:space="preserve"> HYPERLINK "http://www.achp.gov/" \l "800.2"</w:instrText>
            </w:r>
            <w:r>
              <w:rPr>
                <w:rStyle w:val="Hyperlink"/>
              </w:rPr>
              <w:fldChar w:fldCharType="separate"/>
            </w:r>
            <w:r>
              <w:rPr>
                <w:rStyle w:val="Hyperlink"/>
              </w:rPr>
              <w:t>800.2   Participants in the Section 106 process.</w:t>
            </w:r>
            <w:r>
              <w:rPr>
                <w:rStyle w:val="Hyperlink"/>
              </w:rPr>
              <w:fldChar w:fldCharType="end"/>
            </w:r>
            <w:r>
              <w:rPr/>
              <w:t xml:space="preserve"> </w:t>
            </w:r>
          </w:p>
          <w:p>
            <w:pPr>
              <w:pStyle w:val="Normal"/>
              <w:rPr/>
            </w:pPr>
            <w:r>
              <w:rPr>
                <w:b/>
                <w:bCs/>
                <w:color w:val="032B53"/>
              </w:rPr>
              <w:t>Subpart B—The Section 106 Process</w:t>
            </w:r>
            <w:r>
              <w:rPr/>
              <w:br/>
            </w:r>
            <w:r>
              <w:fldChar w:fldCharType="begin"/>
            </w:r>
            <w:r>
              <w:rPr>
                <w:rStyle w:val="Hyperlink"/>
              </w:rPr>
              <w:instrText xml:space="preserve"> HYPERLINK "http://www.achp.gov/" \l "800.3"</w:instrText>
            </w:r>
            <w:r>
              <w:rPr>
                <w:rStyle w:val="Hyperlink"/>
              </w:rPr>
              <w:fldChar w:fldCharType="separate"/>
            </w:r>
            <w:r>
              <w:rPr>
                <w:rStyle w:val="Hyperlink"/>
              </w:rPr>
              <w:t>800.3   Initiation of the Section 106 process.</w:t>
            </w:r>
            <w:r>
              <w:rPr>
                <w:rStyle w:val="Hyperlink"/>
              </w:rPr>
              <w:fldChar w:fldCharType="end"/>
            </w:r>
            <w:r>
              <w:rPr/>
              <w:t xml:space="preserve"> </w:t>
              <w:br/>
            </w:r>
            <w:r>
              <w:fldChar w:fldCharType="begin"/>
            </w:r>
            <w:r>
              <w:rPr>
                <w:rStyle w:val="Hyperlink"/>
              </w:rPr>
              <w:instrText xml:space="preserve"> HYPERLINK "http://www.achp.gov/" \l "800.4"</w:instrText>
            </w:r>
            <w:r>
              <w:rPr>
                <w:rStyle w:val="Hyperlink"/>
              </w:rPr>
              <w:fldChar w:fldCharType="separate"/>
            </w:r>
            <w:r>
              <w:rPr>
                <w:rStyle w:val="Hyperlink"/>
              </w:rPr>
              <w:t>800.4   Identification of historic properties.</w:t>
            </w:r>
            <w:r>
              <w:rPr>
                <w:rStyle w:val="Hyperlink"/>
              </w:rPr>
              <w:fldChar w:fldCharType="end"/>
            </w:r>
            <w:r>
              <w:rPr/>
              <w:t xml:space="preserve"> </w:t>
              <w:br/>
            </w:r>
            <w:r>
              <w:fldChar w:fldCharType="begin"/>
            </w:r>
            <w:r>
              <w:rPr>
                <w:rStyle w:val="Hyperlink"/>
              </w:rPr>
              <w:instrText xml:space="preserve"> HYPERLINK "http://www.achp.gov/" \l "800.5"</w:instrText>
            </w:r>
            <w:r>
              <w:rPr>
                <w:rStyle w:val="Hyperlink"/>
              </w:rPr>
              <w:fldChar w:fldCharType="separate"/>
            </w:r>
            <w:r>
              <w:rPr>
                <w:rStyle w:val="Hyperlink"/>
              </w:rPr>
              <w:t>800.5   Assessment of adverse effects.</w:t>
            </w:r>
            <w:r>
              <w:rPr>
                <w:rStyle w:val="Hyperlink"/>
              </w:rPr>
              <w:fldChar w:fldCharType="end"/>
            </w:r>
            <w:r>
              <w:rPr/>
              <w:t xml:space="preserve"> </w:t>
              <w:br/>
            </w:r>
            <w:r>
              <w:fldChar w:fldCharType="begin"/>
            </w:r>
            <w:r>
              <w:rPr>
                <w:rStyle w:val="Hyperlink"/>
              </w:rPr>
              <w:instrText xml:space="preserve"> HYPERLINK "http://www.achp.gov/" \l "800.6"</w:instrText>
            </w:r>
            <w:r>
              <w:rPr>
                <w:rStyle w:val="Hyperlink"/>
              </w:rPr>
              <w:fldChar w:fldCharType="separate"/>
            </w:r>
            <w:r>
              <w:rPr>
                <w:rStyle w:val="Hyperlink"/>
              </w:rPr>
              <w:t>800.6   Resolution of adverse effects.</w:t>
            </w:r>
            <w:r>
              <w:rPr>
                <w:rStyle w:val="Hyperlink"/>
              </w:rPr>
              <w:fldChar w:fldCharType="end"/>
            </w:r>
            <w:r>
              <w:rPr/>
              <w:t xml:space="preserve"> </w:t>
              <w:br/>
            </w:r>
            <w:r>
              <w:fldChar w:fldCharType="begin"/>
            </w:r>
            <w:r>
              <w:rPr>
                <w:rStyle w:val="Hyperlink"/>
              </w:rPr>
              <w:instrText xml:space="preserve"> HYPERLINK "http://www.achp.gov/" \l "800.7"</w:instrText>
            </w:r>
            <w:r>
              <w:rPr>
                <w:rStyle w:val="Hyperlink"/>
              </w:rPr>
              <w:fldChar w:fldCharType="separate"/>
            </w:r>
            <w:r>
              <w:rPr>
                <w:rStyle w:val="Hyperlink"/>
              </w:rPr>
              <w:t>800.7   Failure to resolve adverse effects.</w:t>
            </w:r>
            <w:r>
              <w:rPr>
                <w:rStyle w:val="Hyperlink"/>
              </w:rPr>
              <w:fldChar w:fldCharType="end"/>
            </w:r>
            <w:r>
              <w:rPr/>
              <w:t xml:space="preserve"> </w:t>
              <w:br/>
            </w:r>
            <w:r>
              <w:fldChar w:fldCharType="begin"/>
            </w:r>
            <w:r>
              <w:rPr>
                <w:rStyle w:val="Hyperlink"/>
              </w:rPr>
              <w:instrText xml:space="preserve"> HYPERLINK "http://www.achp.gov/" \l "800.8"</w:instrText>
            </w:r>
            <w:r>
              <w:rPr>
                <w:rStyle w:val="Hyperlink"/>
              </w:rPr>
              <w:fldChar w:fldCharType="separate"/>
            </w:r>
            <w:r>
              <w:rPr>
                <w:rStyle w:val="Hyperlink"/>
              </w:rPr>
              <w:t>800.8   Coordination with the National Environmental Policy Act.</w:t>
            </w:r>
            <w:r>
              <w:rPr>
                <w:rStyle w:val="Hyperlink"/>
              </w:rPr>
              <w:fldChar w:fldCharType="end"/>
            </w:r>
            <w:r>
              <w:rPr/>
              <w:t xml:space="preserve"> </w:t>
              <w:br/>
            </w:r>
            <w:r>
              <w:fldChar w:fldCharType="begin"/>
            </w:r>
            <w:r>
              <w:rPr>
                <w:rStyle w:val="Hyperlink"/>
              </w:rPr>
              <w:instrText xml:space="preserve"> HYPERLINK "http://www.achp.gov/" \l "800.9"</w:instrText>
            </w:r>
            <w:r>
              <w:rPr>
                <w:rStyle w:val="Hyperlink"/>
              </w:rPr>
              <w:fldChar w:fldCharType="separate"/>
            </w:r>
            <w:r>
              <w:rPr>
                <w:rStyle w:val="Hyperlink"/>
              </w:rPr>
              <w:t>800.9   Council review of Section 106 compliance.</w:t>
            </w:r>
            <w:r>
              <w:rPr>
                <w:rStyle w:val="Hyperlink"/>
              </w:rPr>
              <w:fldChar w:fldCharType="end"/>
            </w:r>
            <w:r>
              <w:rPr/>
              <w:t xml:space="preserve"> </w:t>
              <w:br/>
            </w:r>
            <w:r>
              <w:fldChar w:fldCharType="begin"/>
            </w:r>
            <w:r>
              <w:rPr>
                <w:rStyle w:val="Hyperlink"/>
              </w:rPr>
              <w:instrText xml:space="preserve"> HYPERLINK "http://www.achp.gov/" \l "800.10"</w:instrText>
            </w:r>
            <w:r>
              <w:rPr>
                <w:rStyle w:val="Hyperlink"/>
              </w:rPr>
              <w:fldChar w:fldCharType="separate"/>
            </w:r>
            <w:r>
              <w:rPr>
                <w:rStyle w:val="Hyperlink"/>
              </w:rPr>
              <w:t>800.10  Special requirements for protecting National Historic Landmarks.</w:t>
            </w:r>
            <w:r>
              <w:rPr>
                <w:rStyle w:val="Hyperlink"/>
              </w:rPr>
              <w:fldChar w:fldCharType="end"/>
            </w:r>
            <w:r>
              <w:rPr/>
              <w:t xml:space="preserve"> </w:t>
              <w:br/>
            </w:r>
            <w:r>
              <w:fldChar w:fldCharType="begin"/>
            </w:r>
            <w:r>
              <w:rPr>
                <w:rStyle w:val="Hyperlink"/>
              </w:rPr>
              <w:instrText xml:space="preserve"> HYPERLINK "http://www.achp.gov/" \l "800.11"</w:instrText>
            </w:r>
            <w:r>
              <w:rPr>
                <w:rStyle w:val="Hyperlink"/>
              </w:rPr>
              <w:fldChar w:fldCharType="separate"/>
            </w:r>
            <w:r>
              <w:rPr>
                <w:rStyle w:val="Hyperlink"/>
              </w:rPr>
              <w:t>800.11  Documentation standards.</w:t>
            </w:r>
            <w:r>
              <w:rPr>
                <w:rStyle w:val="Hyperlink"/>
              </w:rPr>
              <w:fldChar w:fldCharType="end"/>
            </w:r>
            <w:r>
              <w:rPr/>
              <w:t xml:space="preserve"> </w:t>
              <w:br/>
            </w:r>
            <w:r>
              <w:fldChar w:fldCharType="begin"/>
            </w:r>
            <w:r>
              <w:rPr>
                <w:rStyle w:val="Hyperlink"/>
              </w:rPr>
              <w:instrText xml:space="preserve"> HYPERLINK "http://www.achp.gov/" \l "800.12"</w:instrText>
            </w:r>
            <w:r>
              <w:rPr>
                <w:rStyle w:val="Hyperlink"/>
              </w:rPr>
              <w:fldChar w:fldCharType="separate"/>
            </w:r>
            <w:r>
              <w:rPr>
                <w:rStyle w:val="Hyperlink"/>
              </w:rPr>
              <w:t>800.12  Emergency situations.</w:t>
            </w:r>
            <w:r>
              <w:rPr>
                <w:rStyle w:val="Hyperlink"/>
              </w:rPr>
              <w:fldChar w:fldCharType="end"/>
            </w:r>
            <w:r>
              <w:rPr/>
              <w:t xml:space="preserve"> </w:t>
              <w:br/>
            </w:r>
            <w:r>
              <w:fldChar w:fldCharType="begin"/>
            </w:r>
            <w:r>
              <w:rPr>
                <w:rStyle w:val="Hyperlink"/>
              </w:rPr>
              <w:instrText xml:space="preserve"> HYPERLINK "http://www.achp.gov/" \l "800.13"</w:instrText>
            </w:r>
            <w:r>
              <w:rPr>
                <w:rStyle w:val="Hyperlink"/>
              </w:rPr>
              <w:fldChar w:fldCharType="separate"/>
            </w:r>
            <w:r>
              <w:rPr>
                <w:rStyle w:val="Hyperlink"/>
              </w:rPr>
              <w:t>800.13  Post-review discoveries.</w:t>
            </w:r>
            <w:r>
              <w:rPr>
                <w:rStyle w:val="Hyperlink"/>
              </w:rPr>
              <w:fldChar w:fldCharType="end"/>
            </w:r>
            <w:r>
              <w:rPr/>
              <w:t xml:space="preserve"> </w:t>
            </w:r>
          </w:p>
          <w:p>
            <w:pPr>
              <w:pStyle w:val="Normal"/>
              <w:rPr/>
            </w:pPr>
            <w:r>
              <w:rPr>
                <w:b/>
                <w:bCs/>
                <w:color w:val="032B53"/>
              </w:rPr>
              <w:t>Subpart C—Program Alternatives</w:t>
            </w:r>
            <w:r>
              <w:rPr/>
              <w:t xml:space="preserve"> </w:t>
              <w:br/>
            </w:r>
            <w:r>
              <w:fldChar w:fldCharType="begin"/>
            </w:r>
            <w:r>
              <w:rPr>
                <w:rStyle w:val="Hyperlink"/>
              </w:rPr>
              <w:instrText xml:space="preserve"> HYPERLINK "http://www.achp.gov/" \l "800.14"</w:instrText>
            </w:r>
            <w:r>
              <w:rPr>
                <w:rStyle w:val="Hyperlink"/>
              </w:rPr>
              <w:fldChar w:fldCharType="separate"/>
            </w:r>
            <w:r>
              <w:rPr>
                <w:rStyle w:val="Hyperlink"/>
              </w:rPr>
              <w:t>800.14  Federal agency program alternatives.</w:t>
            </w:r>
            <w:r>
              <w:rPr>
                <w:rStyle w:val="Hyperlink"/>
              </w:rPr>
              <w:fldChar w:fldCharType="end"/>
            </w:r>
            <w:r>
              <w:rPr/>
              <w:t xml:space="preserve"> </w:t>
              <w:br/>
            </w:r>
            <w:r>
              <w:fldChar w:fldCharType="begin"/>
            </w:r>
            <w:r>
              <w:rPr>
                <w:rStyle w:val="Hyperlink"/>
              </w:rPr>
              <w:instrText xml:space="preserve"> HYPERLINK "http://www.achp.gov/" \l "800.15"</w:instrText>
            </w:r>
            <w:r>
              <w:rPr>
                <w:rStyle w:val="Hyperlink"/>
              </w:rPr>
              <w:fldChar w:fldCharType="separate"/>
            </w:r>
            <w:r>
              <w:rPr>
                <w:rStyle w:val="Hyperlink"/>
              </w:rPr>
              <w:t>800.15  Tribal, State, and local program alternatives. [Reserved]</w:t>
            </w:r>
            <w:r>
              <w:rPr>
                <w:rStyle w:val="Hyperlink"/>
              </w:rPr>
              <w:fldChar w:fldCharType="end"/>
            </w:r>
            <w:r>
              <w:rPr/>
              <w:t xml:space="preserve"> </w:t>
              <w:br/>
            </w:r>
            <w:r>
              <w:fldChar w:fldCharType="begin"/>
            </w:r>
            <w:r>
              <w:rPr>
                <w:rStyle w:val="Hyperlink"/>
              </w:rPr>
              <w:instrText xml:space="preserve"> HYPERLINK "http://www.achp.gov/" \l "800.16"</w:instrText>
            </w:r>
            <w:r>
              <w:rPr>
                <w:rStyle w:val="Hyperlink"/>
              </w:rPr>
              <w:fldChar w:fldCharType="separate"/>
            </w:r>
            <w:r>
              <w:rPr>
                <w:rStyle w:val="Hyperlink"/>
              </w:rPr>
              <w:t>800.16  Definitions.</w:t>
            </w:r>
            <w:r>
              <w:rPr>
                <w:rStyle w:val="Hyperlink"/>
              </w:rPr>
              <w:fldChar w:fldCharType="end"/>
            </w:r>
            <w:r>
              <w:rPr/>
              <w:t xml:space="preserve"> </w:t>
              <w:br/>
            </w:r>
            <w:r>
              <w:fldChar w:fldCharType="begin"/>
            </w:r>
            <w:r>
              <w:rPr>
                <w:rStyle w:val="Hyperlink"/>
              </w:rPr>
              <w:instrText xml:space="preserve"> HYPERLINK "http://www.achp.gov/" \l "AppA"</w:instrText>
            </w:r>
            <w:r>
              <w:rPr>
                <w:rStyle w:val="Hyperlink"/>
              </w:rPr>
              <w:fldChar w:fldCharType="separate"/>
            </w:r>
            <w:r>
              <w:rPr>
                <w:rStyle w:val="Hyperlink"/>
              </w:rPr>
              <w:t>Appendix A to Part 800—Criteria for Council involvement in reviewing individual Section 106 cases</w:t>
            </w:r>
            <w:r>
              <w:rPr>
                <w:rStyle w:val="Hyperlink"/>
              </w:rPr>
              <w:fldChar w:fldCharType="end"/>
            </w:r>
            <w:r>
              <w:rPr/>
              <w:t xml:space="preserve"> </w:t>
            </w:r>
          </w:p>
          <w:p>
            <w:pPr>
              <w:pStyle w:val="Normal"/>
              <w:rPr/>
            </w:pPr>
            <w:r>
              <w:rPr>
                <w:b/>
                <w:bCs/>
              </w:rPr>
              <w:t>Authority:</w:t>
            </w:r>
            <w:r>
              <w:rPr/>
              <w:t xml:space="preserve"> 16 U.S.C. 470s. </w:t>
            </w:r>
          </w:p>
          <w:p>
            <w:pPr>
              <w:pStyle w:val="Normal"/>
              <w:rPr/>
            </w:pPr>
            <w:r>
              <w:rPr/>
              <mc:AlternateContent>
                <mc:Choice Requires="wps">
                  <w:drawing>
                    <wp:inline distT="0" distB="0" distL="0" distR="0">
                      <wp:extent cx="2514600" cy="7620"/>
                      <wp:effectExtent l="0" t="0" r="0" b="0"/>
                      <wp:docPr id="4" name=""/>
                      <a:graphic xmlns:a="http://schemas.openxmlformats.org/drawingml/2006/main">
                        <a:graphicData uri="http://schemas.microsoft.com/office/word/2010/wordprocessingShape">
                          <wps:wsp>
                            <wps:cNvSpPr/>
                            <wps:spPr>
                              <a:xfrm>
                                <a:off x="0" y="0"/>
                                <a:ext cx="2514600" cy="7560"/>
                              </a:xfrm>
                              <a:prstGeom prst="rect">
                                <a:avLst/>
                              </a:prstGeom>
                              <a:solidFill>
                                <a:srgbClr val="907870"/>
                              </a:solidFill>
                              <a:ln w="0">
                                <a:noFill/>
                              </a:ln>
                            </wps:spPr>
                            <wps:style>
                              <a:lnRef idx="0"/>
                              <a:fillRef idx="0"/>
                              <a:effectRef idx="0"/>
                              <a:fontRef idx="minor"/>
                            </wps:style>
                            <wps:bodyPr/>
                          </wps:wsp>
                        </a:graphicData>
                      </a:graphic>
                    </wp:inline>
                  </w:drawing>
                </mc:Choice>
                <mc:Fallback>
                  <w:pict>
                    <v:rect id="shape_0" fillcolor="#907870" stroked="f" o:allowincell="f" style="position:absolute;margin-left:0pt;margin-top:-0.65pt;width:197.95pt;height:0.55pt;mso-wrap-style:none;v-text-anchor:middle;mso-position-vertical:top">
                      <v:fill o:detectmouseclick="t" type="solid" color2="#6f878f"/>
                      <v:stroke color="#3465a4" joinstyle="round" endcap="flat"/>
                      <w10:wrap type="square"/>
                    </v:rect>
                  </w:pict>
                </mc:Fallback>
              </mc:AlternateContent>
            </w:r>
          </w:p>
          <w:p>
            <w:pPr>
              <w:pStyle w:val="Normal"/>
              <w:rPr>
                <w:color w:val="032B53"/>
              </w:rPr>
            </w:pPr>
            <w:r>
              <w:rPr>
                <w:color w:val="032B53"/>
              </w:rPr>
              <w:t>Subpart A—Purposes and Participants</w:t>
            </w:r>
          </w:p>
          <w:p>
            <w:pPr>
              <w:pStyle w:val="Normal"/>
              <w:rPr/>
            </w:pPr>
            <w:r>
              <w:rPr>
                <w:b/>
                <w:bCs/>
              </w:rPr>
              <w:t>Sect. 800.1 Purposes.</w:t>
            </w:r>
            <w:r>
              <w:rPr/>
              <w:t xml:space="preserve"> </w:t>
            </w:r>
          </w:p>
          <w:p>
            <w:pPr>
              <w:pStyle w:val="Normal"/>
              <w:rPr/>
            </w:pPr>
            <w:r>
              <w:rPr>
                <w:b/>
                <w:bCs/>
                <w:highlight w:val="yellow"/>
              </w:rPr>
              <w:t>Sec. 800.2    Participants in the Section 106 process.</w:t>
            </w:r>
            <w:r>
              <w:rPr/>
              <w:t xml:space="preserve"> </w:t>
            </w:r>
          </w:p>
          <w:p>
            <w:pPr>
              <w:pStyle w:val="Normal"/>
              <w:rPr/>
            </w:pPr>
            <w:r>
              <w:rPr/>
              <w:t>    </w:t>
            </w:r>
            <w:r>
              <w:rPr/>
              <w:t xml:space="preserve">(a) </w:t>
            </w:r>
            <w:r>
              <w:rPr>
                <w:i/>
                <w:iCs/>
              </w:rPr>
              <w:t>Agency official.</w:t>
            </w:r>
            <w:r>
              <w:rPr/>
              <w:t xml:space="preserve"> </w:t>
            </w:r>
          </w:p>
          <w:p>
            <w:pPr>
              <w:pStyle w:val="Normal"/>
              <w:rPr>
                <w:i/>
                <w:i/>
                <w:iCs/>
              </w:rPr>
            </w:pPr>
            <w:r>
              <w:rPr>
                <w:i/>
                <w:iCs/>
              </w:rPr>
              <w:t xml:space="preserve">    </w:t>
            </w:r>
            <w:r>
              <w:rPr>
                <w:i/>
                <w:iCs/>
              </w:rPr>
              <w:t>(1)Professional standards.</w:t>
            </w:r>
          </w:p>
          <w:p>
            <w:pPr>
              <w:pStyle w:val="Normal"/>
              <w:rPr/>
            </w:pPr>
            <w:r>
              <w:rPr>
                <w:i/>
                <w:iCs/>
              </w:rPr>
              <w:t xml:space="preserve">    </w:t>
            </w:r>
            <w:r>
              <w:rPr>
                <w:i/>
                <w:iCs/>
              </w:rPr>
              <w:t>(2)Lead Federal agency.</w:t>
            </w:r>
            <w:r>
              <w:rPr/>
              <w:t xml:space="preserve"> </w:t>
            </w:r>
          </w:p>
          <w:p>
            <w:pPr>
              <w:pStyle w:val="Normal"/>
              <w:rPr>
                <w:i/>
                <w:i/>
                <w:iCs/>
              </w:rPr>
            </w:pPr>
            <w:r>
              <w:rPr>
                <w:i/>
                <w:iCs/>
              </w:rPr>
              <w:t xml:space="preserve">   </w:t>
            </w:r>
            <w:r>
              <w:rPr>
                <w:i/>
                <w:iCs/>
              </w:rPr>
              <w:t>(3)Use of contractors.</w:t>
            </w:r>
          </w:p>
          <w:p>
            <w:pPr>
              <w:pStyle w:val="Normal"/>
              <w:rPr/>
            </w:pPr>
            <w:r>
              <w:rPr>
                <w:i/>
                <w:iCs/>
              </w:rPr>
              <w:t xml:space="preserve">   </w:t>
            </w:r>
            <w:r>
              <w:rPr>
                <w:i/>
                <w:iCs/>
                <w:highlight w:val="yellow"/>
              </w:rPr>
              <w:t>(4)Consultation</w:t>
            </w:r>
            <w:r>
              <w:rPr>
                <w:i/>
                <w:iCs/>
              </w:rPr>
              <w:t>.</w:t>
            </w:r>
            <w:r>
              <w:rPr/>
              <w:t xml:space="preserve"> The agency official shall involve the consulting parties described in paragraph (c) of this section in findings and determinations made during the section 106 process. The agency official should plan consultations appropriate to the scale of the undertaking and the scope of Federal involvement and coordinated with other requirements of other statutes, as applicable, such as the National Environmental Policy Act, the Native American Graves Protection and Repatriation Act, the American Indian Religious Freedom Act, the Archeological Resources Protection Act, and agency-specific legislation. The Council encourages the agency official to use to the extent possible existing agency procedures and mechanisms to fulfill the consultation requirements of this part. </w:t>
            </w:r>
          </w:p>
          <w:p>
            <w:pPr>
              <w:pStyle w:val="Normal"/>
              <w:rPr/>
            </w:pPr>
            <w:r>
              <w:rPr/>
              <w:t>    </w:t>
            </w:r>
            <w:r>
              <w:rPr/>
              <w:t xml:space="preserve">(b) </w:t>
            </w:r>
            <w:r>
              <w:rPr>
                <w:i/>
                <w:iCs/>
              </w:rPr>
              <w:t>Council.</w:t>
            </w:r>
          </w:p>
          <w:p>
            <w:pPr>
              <w:pStyle w:val="Normal"/>
              <w:rPr/>
            </w:pPr>
            <w:r>
              <w:rPr/>
              <w:t>    </w:t>
            </w:r>
            <w:r>
              <w:rPr/>
              <w:t xml:space="preserve">(1) </w:t>
            </w:r>
            <w:r>
              <w:rPr>
                <w:i/>
                <w:iCs/>
              </w:rPr>
              <w:t>Council entry into the section 106 process.</w:t>
            </w:r>
            <w:r>
              <w:rPr/>
              <w:t xml:space="preserve"> </w:t>
            </w:r>
          </w:p>
          <w:p>
            <w:pPr>
              <w:pStyle w:val="Normal"/>
              <w:rPr/>
            </w:pPr>
            <w:r>
              <w:rPr/>
              <w:t>    </w:t>
            </w:r>
            <w:r>
              <w:rPr/>
              <w:t xml:space="preserve">(2) </w:t>
            </w:r>
            <w:r>
              <w:rPr>
                <w:i/>
                <w:iCs/>
              </w:rPr>
              <w:t>Council assistance.</w:t>
            </w:r>
          </w:p>
          <w:p>
            <w:pPr>
              <w:pStyle w:val="Normal"/>
              <w:rPr/>
            </w:pPr>
            <w:r>
              <w:rPr/>
              <w:t>    </w:t>
            </w:r>
            <w:r>
              <w:rPr>
                <w:highlight w:val="yellow"/>
              </w:rPr>
              <w:t xml:space="preserve">(c) </w:t>
            </w:r>
            <w:r>
              <w:rPr>
                <w:i/>
                <w:iCs/>
                <w:highlight w:val="yellow"/>
              </w:rPr>
              <w:t>Consulting parties.</w:t>
            </w:r>
            <w:r>
              <w:rPr>
                <w:highlight w:val="yellow"/>
              </w:rPr>
              <w:t xml:space="preserve"> The following parties have consultative roles in the section 106 process.</w:t>
            </w:r>
            <w:r>
              <w:rPr/>
              <w:t xml:space="preserve"> </w:t>
            </w:r>
          </w:p>
          <w:p>
            <w:pPr>
              <w:pStyle w:val="Normal"/>
              <w:rPr/>
            </w:pPr>
            <w:r>
              <w:rPr/>
              <w:t>    </w:t>
            </w:r>
            <w:r>
              <w:rPr/>
              <w:t xml:space="preserve">(1) </w:t>
            </w:r>
            <w:r>
              <w:rPr>
                <w:i/>
                <w:iCs/>
              </w:rPr>
              <w:t>State historic preservation officer.</w:t>
            </w:r>
            <w:r>
              <w:rPr/>
              <w:t xml:space="preserve"> </w:t>
            </w:r>
          </w:p>
          <w:p>
            <w:pPr>
              <w:pStyle w:val="Normal"/>
              <w:rPr/>
            </w:pPr>
            <w:r>
              <w:rPr/>
              <w:t>   </w:t>
            </w:r>
            <w:r>
              <w:rPr/>
              <w:t xml:space="preserve">(2) </w:t>
            </w:r>
            <w:r>
              <w:rPr>
                <w:i/>
                <w:iCs/>
              </w:rPr>
              <w:t xml:space="preserve">Indian tribes and Native Hawaiian organizations. </w:t>
            </w:r>
          </w:p>
          <w:p>
            <w:pPr>
              <w:pStyle w:val="Normal"/>
              <w:rPr/>
            </w:pPr>
            <w:r>
              <w:rPr>
                <w:i/>
                <w:iCs/>
              </w:rPr>
              <w:t>    </w:t>
            </w:r>
            <w:r>
              <w:rPr>
                <w:i/>
                <w:iCs/>
              </w:rPr>
              <w:t>(i) Consultation on tribal lands.</w:t>
            </w:r>
            <w:r>
              <w:rPr/>
              <w:t xml:space="preserve"> </w:t>
            </w:r>
          </w:p>
          <w:p>
            <w:pPr>
              <w:pStyle w:val="Normal"/>
              <w:rPr/>
            </w:pPr>
            <w:r>
              <w:rPr/>
              <w:t>    </w:t>
            </w:r>
            <w:r>
              <w:rPr/>
              <w:t xml:space="preserve">(A) </w:t>
            </w:r>
            <w:r>
              <w:rPr>
                <w:i/>
                <w:iCs/>
              </w:rPr>
              <w:t>Tribal historic preservation officer.</w:t>
            </w:r>
            <w:r>
              <w:rPr/>
              <w:t xml:space="preserve"> </w:t>
            </w:r>
          </w:p>
          <w:p>
            <w:pPr>
              <w:pStyle w:val="Normal"/>
              <w:rPr/>
            </w:pPr>
            <w:r>
              <w:rPr/>
              <w:t>    </w:t>
            </w:r>
            <w:r>
              <w:rPr/>
              <w:t xml:space="preserve">(B) </w:t>
            </w:r>
            <w:r>
              <w:rPr>
                <w:i/>
                <w:iCs/>
              </w:rPr>
              <w:t>Tribes that have not assumed SHPO functions.</w:t>
            </w:r>
          </w:p>
          <w:p>
            <w:pPr>
              <w:pStyle w:val="Normal"/>
              <w:rPr/>
            </w:pPr>
            <w:r>
              <w:rPr/>
              <w:t>    </w:t>
            </w:r>
            <w:r>
              <w:rPr>
                <w:highlight w:val="yellow"/>
              </w:rPr>
              <w:t xml:space="preserve">(ii) </w:t>
            </w:r>
            <w:r>
              <w:rPr>
                <w:i/>
                <w:iCs/>
                <w:highlight w:val="yellow"/>
              </w:rPr>
              <w:t>Consultation on historic properties of significance to Indian tribes and Native Hawaiian organizations.</w:t>
            </w:r>
            <w:r>
              <w:rPr>
                <w:highlight w:val="yellow"/>
              </w:rPr>
              <w:t xml:space="preserve"> Section 101(d)(6)(B) of the act requires the agency official to consult with any Indian tribe or Native Hawaiian organization that attaches religious and cultural significance to historic properties that may be affected by an undertaking. This requirement applies regardless of the location of the historic property. Such Indian tribe or Native Hawaiian organization shall be a consulting party.</w:t>
            </w:r>
            <w:r>
              <w:rPr/>
              <w:t xml:space="preserve"> </w:t>
            </w:r>
          </w:p>
          <w:p>
            <w:pPr>
              <w:pStyle w:val="Normal"/>
              <w:rPr/>
            </w:pPr>
            <w:r>
              <w:rPr/>
              <w:t>    </w:t>
            </w:r>
            <w:r>
              <w:rPr>
                <w:highlight w:val="yellow"/>
              </w:rPr>
              <w:t>(A) The agency official shall ensure that consultation in the section 106 process provides the Indian tribe or Native Hawaiian organization a reasonable opportunity to identify its concerns about historic properties, advise on the identification and evaluation of historic properties, including those of traditional religious and cultural importance, articulate its views on the undertaking's effects on such properties, and participate in the resolution of adverse effects. It is the responsibility of the agency official to make a reasonable and good faith effort to identify Indian tribes and Native Hawaiian organizations that shall be consulted in the section 106 process. Consultation should commence early in the planning process, in order to identify and discuss relevant preservation issues and resolve concerns about the confidentiality of information on historic properties.</w:t>
            </w:r>
            <w:r>
              <w:rPr/>
              <w:t xml:space="preserve"> </w:t>
            </w:r>
          </w:p>
          <w:p>
            <w:pPr>
              <w:pStyle w:val="Normal"/>
              <w:rPr/>
            </w:pPr>
            <w:r>
              <w:rPr/>
              <w:t>    </w:t>
            </w:r>
            <w:r>
              <w:rPr>
                <w:highlight w:val="yellow"/>
              </w:rPr>
              <w:t xml:space="preserve">(B) The Federal Government has a unique legal relationship with Indian tribes set forth in the Constitution of the United States, treaties, statutes, and court decisions. Consultation with Indian tribes should be conducted in a sensitive manner respectful of tribal sovereignty. Nothing in this part alters, amends, repeals, interprets, or modifies tribal sovereignty, any treaty rights, or other rights of an Indian tribe, or preempts, modifies, or limits the exercise of any such rights. </w:t>
            </w:r>
          </w:p>
          <w:p>
            <w:pPr>
              <w:pStyle w:val="Normal"/>
              <w:rPr>
                <w:highlight w:val="yellow"/>
              </w:rPr>
            </w:pPr>
            <w:r>
              <w:rPr>
                <w:highlight w:val="yellow"/>
              </w:rPr>
              <w:t>    </w:t>
            </w:r>
            <w:r>
              <w:rPr>
                <w:highlight w:val="yellow"/>
              </w:rPr>
              <w:t xml:space="preserve">(C) Consultation with an Indian tribe must recognize the government-to-government relationship between the Federal Government and Indian tribes. The agency official shall consult with representatives designated or identified by the tribal government or the governing body of a Native Hawaiian organization. Consultation with Indian tribes and Native Hawaiian organizations should be conducted in a manner sensitive to the concerns and needs of the Indian tribe or Native Hawaiian organization. </w:t>
            </w:r>
          </w:p>
          <w:p>
            <w:pPr>
              <w:pStyle w:val="Normal"/>
              <w:rPr>
                <w:highlight w:val="yellow"/>
              </w:rPr>
            </w:pPr>
            <w:r>
              <w:rPr>
                <w:highlight w:val="yellow"/>
              </w:rPr>
              <w:t>    </w:t>
            </w:r>
            <w:r>
              <w:rPr>
                <w:highlight w:val="yellow"/>
              </w:rPr>
              <w:t xml:space="preserve">(D) When Indian tribes and Native Hawaiian organizations attach religious and cultural significance to historic properties off tribal lands, section 101(d)(6)(B) of the act requires Federal agencies to consult with such Indian tribes and Native Hawaiian organizations in the section 106 process. Federal agencies should be aware that frequently historic properties of religious and cultural significance are located on ancestral, aboriginal, or ceded lands of Indian tribes and Native Hawaiian organizations and should consider that when complying with the procedures in this part. </w:t>
            </w:r>
          </w:p>
          <w:p>
            <w:pPr>
              <w:pStyle w:val="Normal"/>
              <w:rPr/>
            </w:pPr>
            <w:r>
              <w:rPr>
                <w:highlight w:val="yellow"/>
              </w:rPr>
              <w:t>    </w:t>
            </w:r>
            <w:r>
              <w:rPr>
                <w:highlight w:val="yellow"/>
              </w:rPr>
              <w:t>(E) An Indian tribe or a Native Hawaiian organization may enter into an agreement with an agency official that specifies how they will carry out responsibilities under this part, including concerns over the confidentiality of information. An agreement may cover all aspects of tribal participation in the section 106 process, provided that no modification may be made in the roles of other parties to the section 106 process without their consent. An agreement may grant the Indian tribe or Native Hawaiian organization additional rights to participate or concur in agency decisions in the section 106 process beyond those specified in subpart B of this part. The agency official shall provide a copy of any such agreement to the Council and the appropriate SHPOs.</w:t>
            </w:r>
            <w:r>
              <w:rPr/>
              <w:t xml:space="preserve"> </w:t>
            </w:r>
          </w:p>
          <w:p>
            <w:pPr>
              <w:pStyle w:val="Normal"/>
              <w:rPr>
                <w:color w:val="032B53"/>
              </w:rPr>
            </w:pPr>
            <w:r>
              <w:rPr>
                <w:color w:val="032B53"/>
              </w:rPr>
              <w:t>Subpart B—The Section 106 Process</w:t>
            </w:r>
          </w:p>
          <w:p>
            <w:pPr>
              <w:pStyle w:val="Normal"/>
              <w:rPr/>
            </w:pPr>
            <w:r>
              <w:rPr>
                <w:b/>
                <w:bCs/>
              </w:rPr>
              <w:t>Sec. 800.3    Initiation of the section 106 process.</w:t>
            </w:r>
            <w:r>
              <w:rPr/>
              <w:t xml:space="preserve"> </w:t>
            </w:r>
          </w:p>
          <w:p>
            <w:pPr>
              <w:pStyle w:val="Normal"/>
              <w:rPr>
                <w:i/>
                <w:i/>
                <w:iCs/>
              </w:rPr>
            </w:pPr>
            <w:r>
              <w:rPr>
                <w:i/>
                <w:iCs/>
              </w:rPr>
              <w:t>Establish undertaking.</w:t>
            </w:r>
          </w:p>
          <w:p>
            <w:pPr>
              <w:pStyle w:val="Normal"/>
              <w:rPr>
                <w:i/>
                <w:i/>
                <w:iCs/>
              </w:rPr>
            </w:pPr>
            <w:r>
              <w:rPr>
                <w:i/>
                <w:iCs/>
              </w:rPr>
              <w:t>Coordinate with other reviews.</w:t>
            </w:r>
          </w:p>
          <w:p>
            <w:pPr>
              <w:pStyle w:val="Normal"/>
              <w:rPr>
                <w:i/>
                <w:i/>
                <w:iCs/>
              </w:rPr>
            </w:pPr>
            <w:r>
              <w:rPr>
                <w:i/>
                <w:iCs/>
              </w:rPr>
              <w:t xml:space="preserve">Identify the appropriate SHPO and/or THPO           </w:t>
            </w:r>
          </w:p>
          <w:p>
            <w:pPr>
              <w:pStyle w:val="Normal"/>
              <w:rPr/>
            </w:pPr>
            <w:r>
              <w:rPr/>
              <w:t xml:space="preserve">(d) </w:t>
            </w:r>
            <w:r>
              <w:rPr>
                <w:i/>
                <w:iCs/>
              </w:rPr>
              <w:t>Consultation on tribal lands.</w:t>
            </w:r>
            <w:r>
              <w:rPr/>
              <w:t xml:space="preserve"> </w:t>
            </w:r>
          </w:p>
          <w:p>
            <w:pPr>
              <w:pStyle w:val="Normal"/>
              <w:rPr/>
            </w:pPr>
            <w:r>
              <w:rPr/>
              <w:t>    </w:t>
            </w:r>
            <w:r>
              <w:rPr/>
              <w:t xml:space="preserve">(e) </w:t>
            </w:r>
            <w:r>
              <w:rPr>
                <w:i/>
                <w:iCs/>
              </w:rPr>
              <w:t>Plan to involve the public.</w:t>
            </w:r>
          </w:p>
          <w:p>
            <w:pPr>
              <w:pStyle w:val="Normal"/>
              <w:rPr/>
            </w:pPr>
            <w:r>
              <w:rPr/>
              <w:t>    </w:t>
            </w:r>
            <w:r>
              <w:rPr/>
              <w:t>(f</w:t>
            </w:r>
            <w:r>
              <w:rPr>
                <w:highlight w:val="yellow"/>
              </w:rPr>
              <w:t xml:space="preserve">) </w:t>
            </w:r>
            <w:r>
              <w:rPr>
                <w:i/>
                <w:iCs/>
                <w:highlight w:val="yellow"/>
              </w:rPr>
              <w:t>Identify other consulting parties.</w:t>
            </w:r>
            <w:r>
              <w:rPr/>
              <w:t xml:space="preserve"> In consultation with the SHPO/THPO, the agency official shall identify any other parties entitled to be consulting parties and invite them to participate as such in the section 106 process. The agency official may invite others to participate as consulting parties as the section 106 process moves forward. </w:t>
            </w:r>
          </w:p>
          <w:p>
            <w:pPr>
              <w:pStyle w:val="Normal"/>
              <w:rPr>
                <w:i/>
                <w:i/>
                <w:iCs/>
              </w:rPr>
            </w:pPr>
            <w:r>
              <w:rPr>
                <w:i/>
                <w:iCs/>
              </w:rPr>
              <w:t>Involving local governments and applicants.</w:t>
            </w:r>
          </w:p>
          <w:p>
            <w:pPr>
              <w:pStyle w:val="Normal"/>
              <w:rPr/>
            </w:pPr>
            <w:r>
              <w:rPr/>
              <w:t>    </w:t>
            </w:r>
            <w:r>
              <w:rPr>
                <w:highlight w:val="yellow"/>
              </w:rPr>
              <w:t xml:space="preserve">(2) </w:t>
            </w:r>
            <w:r>
              <w:rPr>
                <w:i/>
                <w:iCs/>
                <w:highlight w:val="yellow"/>
              </w:rPr>
              <w:t>Involving Indian tribes and Native Hawaiian organizations.</w:t>
            </w:r>
            <w:r>
              <w:rPr>
                <w:highlight w:val="yellow"/>
              </w:rPr>
              <w:t xml:space="preserve"> The agency official shall make a reasonable and good faith effort to identify any Indian tribes or Native Hawaiian organizations that might attach religious and cultural significance to historic properties in the area of potential effects and invite them to be consulting parties. Such Indian tribe or Native Hawaiian organization that requests in writing to be a consulting party shall be one.</w:t>
            </w:r>
            <w:r>
              <w:rPr/>
              <w:t xml:space="preserve"> </w:t>
            </w:r>
          </w:p>
          <w:p>
            <w:pPr>
              <w:pStyle w:val="Normal"/>
              <w:rPr/>
            </w:pPr>
            <w:r>
              <w:rPr/>
              <w:t> </w:t>
            </w:r>
            <w:r>
              <w:rPr>
                <w:b/>
                <w:bCs/>
              </w:rPr>
              <w:t>Sec. 800.4    Identification of historic properties.</w:t>
            </w:r>
            <w:r>
              <w:rPr/>
              <w:t xml:space="preserve"> </w:t>
            </w:r>
          </w:p>
          <w:p>
            <w:pPr>
              <w:pStyle w:val="Normal"/>
              <w:rPr/>
            </w:pPr>
            <w:r>
              <w:rPr/>
              <w:t>    </w:t>
            </w:r>
            <w:r>
              <w:rPr/>
              <w:t xml:space="preserve">(a) </w:t>
            </w:r>
            <w:r>
              <w:rPr>
                <w:i/>
                <w:iCs/>
              </w:rPr>
              <w:t>Determine scope of identification efforts.</w:t>
            </w:r>
            <w:r>
              <w:rPr/>
              <w:t xml:space="preserve"> In consultation with the SHPO/THPO, the agency official shall: </w:t>
            </w:r>
          </w:p>
          <w:p>
            <w:pPr>
              <w:pStyle w:val="Normal"/>
              <w:rPr/>
            </w:pPr>
            <w:r>
              <w:rPr/>
              <w:t>    </w:t>
            </w:r>
            <w:r>
              <w:rPr/>
              <w:t xml:space="preserve">(1) Determine and document the area of potential effects, as defined in Sec. 800.16(d); </w:t>
            </w:r>
          </w:p>
          <w:p>
            <w:pPr>
              <w:pStyle w:val="Normal"/>
              <w:rPr/>
            </w:pPr>
            <w:r>
              <w:rPr/>
              <w:t>    </w:t>
            </w:r>
            <w:r>
              <w:rPr/>
              <w:t xml:space="preserve">(2) Review existing information on historic properties within the area of potential effects, including any data concerning possible historic properties not yet identified; </w:t>
            </w:r>
          </w:p>
          <w:p>
            <w:pPr>
              <w:pStyle w:val="Normal"/>
              <w:rPr/>
            </w:pPr>
            <w:r>
              <w:rPr/>
              <w:t>    </w:t>
            </w:r>
            <w:r>
              <w:rPr/>
              <w:t xml:space="preserve">(3) Seek information, as appropriate, from consulting parties, and other individuals and organizations likely to have knowledge of, or concerns with, historic properties in the area, and identify issues relating to the undertaking's potential effects on historic properties; and </w:t>
            </w:r>
          </w:p>
          <w:p>
            <w:pPr>
              <w:pStyle w:val="Normal"/>
              <w:rPr/>
            </w:pPr>
            <w:r>
              <w:rPr/>
              <w:t>    </w:t>
            </w:r>
            <w:r>
              <w:rPr>
                <w:highlight w:val="yellow"/>
              </w:rPr>
              <w:t>(4) Gather information from any Indian tribe or Native Hawaiian organization identified pursuant to Sec. 800.3(f) to assist in identifying properties, including those located off tribal lands, which may be of religious and cultural significance to them and may be eligible for the National Register, recognizing that an Indian tribe or Native Hawaiian organization may be reluctant to divulge specific information regarding the location, nature, and activities associated with such sites. The agency official should address concerns raised about confidentiality pursuant to Sec. 800.11(c).</w:t>
            </w:r>
            <w:r>
              <w:rPr/>
              <w:t xml:space="preserve"> </w:t>
            </w:r>
          </w:p>
          <w:p>
            <w:pPr>
              <w:pStyle w:val="Normal"/>
              <w:rPr/>
            </w:pPr>
            <w:r>
              <w:rPr/>
              <w:t>    </w:t>
            </w:r>
            <w:r>
              <w:rPr>
                <w:highlight w:val="yellow"/>
              </w:rPr>
              <w:t xml:space="preserve">(b) </w:t>
            </w:r>
            <w:r>
              <w:rPr>
                <w:i/>
                <w:iCs/>
                <w:highlight w:val="yellow"/>
              </w:rPr>
              <w:t>Identify historic properties.</w:t>
            </w:r>
            <w:r>
              <w:rPr>
                <w:highlight w:val="yellow"/>
              </w:rPr>
              <w:t xml:space="preserve"> Based on the information gathered under paragraph (a) of this section, and in consultation with the SHPO/ THPO and any Indian tribe or Native Hawaiian organization that might attach religious and cultural significance to properties within the area of potential effects, the agency official shall take the steps necessary to identify historic properties within the area of potential effects. </w:t>
            </w:r>
          </w:p>
          <w:p>
            <w:pPr>
              <w:pStyle w:val="Normal"/>
              <w:rPr/>
            </w:pPr>
            <w:r>
              <w:rPr>
                <w:highlight w:val="yellow"/>
              </w:rPr>
              <w:t>    </w:t>
            </w:r>
            <w:r>
              <w:rPr>
                <w:highlight w:val="yellow"/>
              </w:rPr>
              <w:t xml:space="preserve">(1) </w:t>
            </w:r>
            <w:r>
              <w:rPr>
                <w:i/>
                <w:iCs/>
                <w:highlight w:val="yellow"/>
              </w:rPr>
              <w:t>Level of effort.</w:t>
            </w:r>
            <w:r>
              <w:rPr>
                <w:highlight w:val="yellow"/>
              </w:rPr>
              <w:t xml:space="preserve"> The agency official shall make a reasonable and good faith effort to carry out appropriate identification efforts, which may include background research, consultation, oral history interviews, sample field investigation, and field survey. The agency official shall take into account past planning, research and studies, the magnitude and nature of the undertaking and the degree of Federal involvement, the nature and extent of potential effects on historic properties, and the likely nature and location of historic properties within the area of potential effects. The Secretary's standards and guidelines for identification provide guidance on this subject. The agency official should also consider other applicable professional, State, tribal, and local laws, standards, and guidelines. The agency official shall take into account any confidentiality concerns raised by Indian tribes or Native Hawaiian organizations during the identification process.</w:t>
            </w:r>
            <w:r>
              <w:rPr/>
              <w:t xml:space="preserve"> </w:t>
            </w:r>
          </w:p>
          <w:p>
            <w:pPr>
              <w:pStyle w:val="Normal"/>
              <w:rPr/>
            </w:pPr>
            <w:r>
              <w:rPr/>
              <w:t>      </w:t>
            </w:r>
            <w:r>
              <w:rPr/>
              <w:t xml:space="preserve">(c) </w:t>
            </w:r>
            <w:r>
              <w:rPr>
                <w:i/>
                <w:iCs/>
              </w:rPr>
              <w:t>Evaluate historic significance.</w:t>
            </w:r>
            <w:r>
              <w:rPr/>
              <w:t xml:space="preserve"> </w:t>
            </w:r>
          </w:p>
          <w:p>
            <w:pPr>
              <w:pStyle w:val="Normal"/>
              <w:rPr/>
            </w:pPr>
            <w:r>
              <w:rPr/>
              <w:t>    </w:t>
            </w:r>
            <w:r>
              <w:rPr>
                <w:highlight w:val="yellow"/>
              </w:rPr>
              <w:t>(1) Apply National Register criteria. In consultation with the SHPO/THPO and any Indian tribe or Native Hawaiian organization that attaches religious and cultural significance to identified properties and guided by the Secretary's standards and guidelines for evaluation, the agency official shall apply the National Register criteria (36 CFR part 63) to properties identified within the area of potential effects that have not been previously evaluated for National Register eligibility. The passage of time, changing perceptions of significance, or incomplete prior evaluations may require the agency official to reevaluate properties previously determined eligible or ineligible. The agency official shall acknowledge that Indian tribes and Native Hawaiian organizations possess special expertise in assessing the eligibility of historic properties that may possess religious and cultural significance to them.</w:t>
            </w:r>
            <w:r>
              <w:rPr/>
              <w:t xml:space="preserve"> </w:t>
            </w:r>
          </w:p>
          <w:p>
            <w:pPr>
              <w:pStyle w:val="Normal"/>
              <w:rPr/>
            </w:pPr>
            <w:r>
              <w:rPr/>
              <w:t>     </w:t>
            </w:r>
            <w:r>
              <w:rPr/>
              <w:t xml:space="preserve">(ii) The agency official should seek the concurrence of any Indian tribe or Native Hawaiian organization that has made known to the agency official that it attaches religious and cultural significance to a historic property subject to the finding. If such Indian tribe or Native Hawaiian organization disagrees with the finding, it may within the 30-day review period specify the reasons for disagreeing with the finding and request the Council to review the finding pursuant to paragraph (c)(3) of this section. </w:t>
            </w:r>
          </w:p>
          <w:p>
            <w:pPr>
              <w:pStyle w:val="Normal"/>
              <w:rPr/>
            </w:pPr>
            <w:r>
              <w:rPr/>
              <w:t> </w:t>
            </w:r>
            <w:r>
              <w:rPr/>
              <w:br/>
              <w:t>    Dated: December 4th, 2000.</w:t>
              <w:br/>
              <w:t>    John M. Fowler,</w:t>
              <w:br/>
              <w:t>    </w:t>
            </w:r>
            <w:r>
              <w:rPr>
                <w:i/>
                <w:iCs/>
              </w:rPr>
              <w:t>Executive Director.</w:t>
            </w:r>
            <w:r>
              <w:rPr/>
              <w:br/>
              <w:t xml:space="preserve">    [FR Doc. 00-31253 Filed 12-11-00; 8:45 am] </w:t>
            </w:r>
          </w:p>
          <w:p>
            <w:pPr>
              <w:pStyle w:val="Normal"/>
              <w:rPr/>
            </w:pPr>
            <w:r>
              <w:rPr/>
              <w:br/>
            </w:r>
            <w:r>
              <w:rPr>
                <w:i/>
                <w:iCs/>
              </w:rPr>
              <w:t>Posted January 2001</w:t>
            </w:r>
          </w:p>
        </w:tc>
      </w:tr>
      <w:tr>
        <w:trPr/>
        <w:tc>
          <w:tcPr>
            <w:tcW w:w="7605" w:type="dxa"/>
            <w:tcBorders/>
            <w:vAlign w:val="center"/>
          </w:tcPr>
          <w:p>
            <w:pPr>
              <w:pStyle w:val="Normal"/>
              <w:rPr/>
            </w:pPr>
            <w:r>
              <w:rPr/>
              <mc:AlternateContent>
                <mc:Choice Requires="wps">
                  <w:drawing>
                    <wp:inline distT="0" distB="0" distL="0" distR="0">
                      <wp:extent cx="5486400" cy="19050"/>
                      <wp:effectExtent l="0" t="0" r="0" b="0"/>
                      <wp:docPr id="5" name=""/>
                      <a:graphic xmlns:a="http://schemas.openxmlformats.org/drawingml/2006/main">
                        <a:graphicData uri="http://schemas.microsoft.com/office/word/2010/wordprocessingShape">
                          <wps:wsp>
                            <wps:cNvSpPr/>
                            <wps:spPr>
                              <a:xfrm>
                                <a:off x="0" y="0"/>
                                <a:ext cx="5486400" cy="19080"/>
                              </a:xfrm>
                              <a:prstGeom prst="rect">
                                <a:avLst/>
                              </a:prstGeom>
                              <a:solidFill>
                                <a:srgbClr val="907870"/>
                              </a:solidFill>
                              <a:ln w="0">
                                <a:noFill/>
                              </a:ln>
                            </wps:spPr>
                            <wps:style>
                              <a:lnRef idx="0"/>
                              <a:fillRef idx="0"/>
                              <a:effectRef idx="0"/>
                              <a:fontRef idx="minor"/>
                            </wps:style>
                            <wps:bodyPr/>
                          </wps:wsp>
                        </a:graphicData>
                      </a:graphic>
                    </wp:inline>
                  </w:drawing>
                </mc:Choice>
                <mc:Fallback>
                  <w:pict>
                    <v:rect id="shape_0" fillcolor="#907870" stroked="f" o:allowincell="f" style="position:absolute;margin-left:0pt;margin-top:-1.55pt;width:431.95pt;height:1.45pt;mso-wrap-style:none;v-text-anchor:middle;mso-position-vertical:top">
                      <v:fill o:detectmouseclick="t" type="solid" color2="#6f878f"/>
                      <v:stroke color="#3465a4" joinstyle="round" endcap="flat"/>
                      <w10:wrap type="square"/>
                    </v:rect>
                  </w:pict>
                </mc:Fallback>
              </mc:AlternateContent>
            </w:r>
          </w:p>
          <w:p>
            <w:pPr>
              <w:pStyle w:val="Normal"/>
              <w:rPr/>
            </w:pPr>
            <w:r>
              <w:rPr>
                <w:color w:val="1515A4"/>
              </w:rPr>
              <w:drawing>
                <wp:inline distT="0" distB="0" distL="0" distR="0">
                  <wp:extent cx="4752975" cy="381000"/>
                  <wp:effectExtent l="0" t="0" r="0" b="0"/>
                  <wp:docPr id="6" name="mail" descr="" titl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l" descr="" title="">
                            <a:hlinkClick r:id="rId4"/>
                          </pic:cNvPr>
                          <pic:cNvPicPr>
                            <a:picLocks noChangeAspect="1" noChangeArrowheads="1"/>
                          </pic:cNvPicPr>
                        </pic:nvPicPr>
                        <pic:blipFill>
                          <a:blip r:embed="rId3"/>
                          <a:srcRect l="-8" t="-95" r="-8" b="-95"/>
                          <a:stretch>
                            <a:fillRect/>
                          </a:stretch>
                        </pic:blipFill>
                        <pic:spPr bwMode="auto">
                          <a:xfrm>
                            <a:off x="0" y="0"/>
                            <a:ext cx="4752975" cy="381000"/>
                          </a:xfrm>
                          <a:prstGeom prst="rect">
                            <a:avLst/>
                          </a:prstGeom>
                          <a:noFill/>
                        </pic:spPr>
                      </pic:pic>
                    </a:graphicData>
                  </a:graphic>
                </wp:inline>
              </w:drawing>
            </w:r>
            <w:r>
              <w:fldChar w:fldCharType="begin"/>
            </w:r>
            <w:r>
              <w:rPr>
                <w:rStyle w:val="Hyperlink"/>
              </w:rPr>
              <w:instrText xml:space="preserve"> HYPERLINK "http://www.achp.gov/" \l "top"</w:instrText>
            </w:r>
            <w:r>
              <w:rPr>
                <w:rStyle w:val="Hyperlink"/>
              </w:rPr>
              <w:fldChar w:fldCharType="separate"/>
            </w:r>
            <w:r>
              <w:rPr>
                <w:rStyle w:val="Hyperlink"/>
              </w:rPr>
              <w:t>Return to Top</w:t>
            </w:r>
            <w:r>
              <w:rPr>
                <w:rStyle w:val="Hyperlink"/>
              </w:rPr>
              <w:fldChar w:fldCharType="end"/>
            </w:r>
          </w:p>
        </w:tc>
      </w:tr>
    </w:tbl>
    <w:p>
      <w:pPr>
        <w:pStyle w:val="Normal"/>
        <w:rPr/>
      </w:pPr>
      <w:r>
        <w:rPr/>
      </w:r>
    </w:p>
    <w:sectPr>
      <w:type w:val="nextPage"/>
      <w:pgSz w:w="12240" w:h="15840"/>
      <w:pgMar w:left="1800" w:right="1800" w:gutter="0" w:header="0" w:top="1440" w:footer="0" w:bottom="16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BodyText"/>
    <w:qFormat/>
    <w:pPr>
      <w:numPr>
        <w:ilvl w:val="3"/>
        <w:numId w:val="1"/>
      </w:numPr>
      <w:spacing w:before="280" w:after="280"/>
      <w:outlineLvl w:val="3"/>
    </w:pPr>
    <w:rPr>
      <w:b/>
      <w:bCs/>
    </w:rPr>
  </w:style>
  <w:style w:type="character" w:styleId="WW8Num1z0">
    <w:name w:val="WW8Num1z0"/>
    <w:qFormat/>
    <w:rPr>
      <w:i w:val="false"/>
    </w:rPr>
  </w:style>
  <w:style w:type="character" w:styleId="WW8Num2z0">
    <w:name w:val="WW8Num2z0"/>
    <w:qFormat/>
    <w:rPr>
      <w:i w:val="false"/>
    </w:rPr>
  </w:style>
  <w:style w:type="character" w:styleId="WW8Num3z0">
    <w:name w:val="WW8Num3z0"/>
    <w:qFormat/>
    <w:rPr>
      <w:i w:val="false"/>
    </w:rPr>
  </w:style>
  <w:style w:type="character" w:styleId="DefaultParagraphFont">
    <w:name w:val="Default Paragraph Font"/>
    <w:qFormat/>
    <w:rPr/>
  </w:style>
  <w:style w:type="character" w:styleId="Hyperlink">
    <w:name w:val="Hyperlink"/>
    <w:basedOn w:val="DefaultParagraphFont"/>
    <w:rPr>
      <w:color w:val="1515A4"/>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achp@achp.gov"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2001-03-14T13:59:00Z</dcterms:created>
  <dc:creator>Valued Sony Customer</dc:creator>
  <dc:description/>
  <dc:language>en-CA</dc:language>
  <cp:lastModifiedBy>Valued Sony Customer</cp:lastModifiedBy>
  <dcterms:modified xsi:type="dcterms:W3CDTF">2001-03-14T13:59:00Z</dcterms:modified>
  <cp:revision>2</cp:revision>
  <dc:subject/>
  <dc:title> </dc:title>
</cp:coreProperties>
</file>