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Houston Pipe Line Company Section 311 transportation rate</w:t>
      </w:r>
    </w:p>
    <w:p>
      <w:pPr>
        <w:pStyle w:val="Normal"/>
        <w:rPr>
          <w:sz w:val="24"/>
        </w:rPr>
      </w:pPr>
      <w:r>
        <w:rPr>
          <w:sz w:val="24"/>
        </w:rPr>
      </w:r>
    </w:p>
    <w:p>
      <w:pPr>
        <w:pStyle w:val="BodyText"/>
        <w:ind w:firstLine="720" w:end="0"/>
        <w:rPr/>
      </w:pPr>
      <w:r>
        <w:rPr/>
        <w:t xml:space="preserve">There is no FERC order specifically authorizing Houston Pipe Line’s Section 311(a)(2) transportation rate.  Rather, as provided by Sec. 284.123(b)(I)(A) of the FERC rules, such rate is based on the “margin,” or transportation component, of Houston Pipe Line’s 1976 Entex Gas Supply Contract (a city gate sale).  That rate was approved by the Railroad Commission of Texas in Gas Utilities Docket No. 592 by order dated March 19, 1976.  In accordance with FERC Order No. 46 and the Order on Rehearing of FERC Order No. 46 issued in 1979, such “then effective” HPL city gate rate is presumed to be a “fair and equitable”/”just and reasonable” cost-based rate, since it had been approved by the Railroad Commission, an “appropriate state regulatory agency” under the FERC rules.  </w:t>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sz w:val="24"/>
      <w:u w:val="single"/>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2000-10-20T17:16:00Z</dcterms:created>
  <dc:creator>tom shelton</dc:creator>
  <dc:description/>
  <dc:language>en-CA</dc:language>
  <cp:lastModifiedBy>tom shelton</cp:lastModifiedBy>
  <cp:lastPrinted>2000-10-20T15:35:00Z</cp:lastPrinted>
  <dcterms:modified xsi:type="dcterms:W3CDTF">2000-10-20T18:05:00Z</dcterms:modified>
  <cp:revision>3</cp:revision>
  <dc:subject/>
  <dc:title>Houston Pipe Line Company Section 311 transportation rate</dc:title>
</cp:coreProperties>
</file>