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Inserts</w:t>
      </w:r>
    </w:p>
    <w:p>
      <w:pPr>
        <w:pStyle w:val="Normal"/>
        <w:rPr>
          <w:sz w:val="24"/>
        </w:rPr>
      </w:pPr>
      <w:r>
        <w:rPr>
          <w:sz w:val="24"/>
        </w:rPr>
      </w:r>
    </w:p>
    <w:p>
      <w:pPr>
        <w:pStyle w:val="Normal"/>
        <w:rPr>
          <w:sz w:val="24"/>
        </w:rPr>
      </w:pPr>
      <w:r>
        <w:rPr>
          <w:sz w:val="24"/>
        </w:rPr>
        <w:t>A</w:t>
      </w:r>
    </w:p>
    <w:p>
      <w:pPr>
        <w:pStyle w:val="Normal"/>
        <w:rPr>
          <w:sz w:val="24"/>
        </w:rPr>
      </w:pPr>
      <w:r>
        <w:rPr>
          <w:sz w:val="24"/>
        </w:rPr>
      </w:r>
    </w:p>
    <w:p>
      <w:pPr>
        <w:pStyle w:val="Normal"/>
        <w:rPr/>
      </w:pPr>
      <w:r>
        <w:rPr>
          <w:sz w:val="24"/>
        </w:rPr>
        <w:t>“</w:t>
      </w:r>
      <w:r>
        <w:rPr>
          <w:sz w:val="24"/>
          <w:u w:val="single"/>
        </w:rPr>
        <w:t>Cash Disbursements</w:t>
      </w:r>
      <w:r>
        <w:rPr>
          <w:sz w:val="24"/>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general and administrative expenses (excluding Enron Corp internal allocations and capital contributions made by EWR to Lost Creek from the Reserve Account).</w:t>
      </w:r>
    </w:p>
    <w:p>
      <w:pPr>
        <w:pStyle w:val="Normal"/>
        <w:rPr>
          <w:sz w:val="24"/>
        </w:rPr>
      </w:pPr>
      <w:r>
        <w:rPr>
          <w:sz w:val="24"/>
        </w:rPr>
      </w:r>
    </w:p>
    <w:p>
      <w:pPr>
        <w:pStyle w:val="Normal"/>
        <w:rPr>
          <w:sz w:val="24"/>
        </w:rPr>
      </w:pPr>
      <w:r>
        <w:rPr>
          <w:sz w:val="24"/>
        </w:rPr>
        <w:t>B</w:t>
      </w:r>
    </w:p>
    <w:p>
      <w:pPr>
        <w:pStyle w:val="Normal"/>
        <w:rPr>
          <w:sz w:val="24"/>
        </w:rPr>
      </w:pPr>
      <w:r>
        <w:rPr>
          <w:sz w:val="24"/>
        </w:rPr>
      </w:r>
    </w:p>
    <w:p>
      <w:pPr>
        <w:pStyle w:val="Normal"/>
        <w:rPr/>
      </w:pPr>
      <w:r>
        <w:rPr>
          <w:sz w:val="24"/>
        </w:rPr>
        <w:t>“</w:t>
      </w:r>
      <w:r>
        <w:rPr>
          <w:sz w:val="24"/>
          <w:u w:val="single"/>
        </w:rPr>
        <w:t>Cash Receipts</w:t>
      </w:r>
      <w:r>
        <w:rPr>
          <w:sz w:val="24"/>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adjusted downward by the amount of Cash Receipts after the Effective Date and prior to the Closing Date.</w:t>
      </w:r>
    </w:p>
    <w:p>
      <w:pPr>
        <w:pStyle w:val="Normal"/>
        <w:rPr>
          <w:sz w:val="24"/>
        </w:rPr>
      </w:pPr>
      <w:r>
        <w:rPr>
          <w:sz w:val="24"/>
        </w:rPr>
      </w:r>
    </w:p>
    <w:p>
      <w:pPr>
        <w:pStyle w:val="Normal"/>
        <w:numPr>
          <w:ilvl w:val="0"/>
          <w:numId w:val="2"/>
        </w:numPr>
        <w:rPr>
          <w:sz w:val="24"/>
        </w:rPr>
      </w:pPr>
      <w:r>
        <w:rPr>
          <w:sz w:val="24"/>
        </w:rPr>
        <w:t xml:space="preserve">adjusted upward by the amount of Cash Disbursements after the Effective Date and prior to the Closing Date.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2000-08-31T18:23:00Z</dcterms:created>
  <dc:creator>Northern Border</dc:creator>
  <dc:description/>
  <dc:language>en-CA</dc:language>
  <cp:lastModifiedBy>Northern Border</cp:lastModifiedBy>
  <cp:lastPrinted>2000-08-31T13:55:00Z</cp:lastPrinted>
  <dcterms:modified xsi:type="dcterms:W3CDTF">2000-08-31T18:23:00Z</dcterms:modified>
  <cp:revision>2</cp:revision>
  <dc:subject/>
  <dc:title>Inserts</dc:title>
</cp:coreProperties>
</file>