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IN THE UNITED STATES DISTRICT COURT</w:t>
      </w:r>
    </w:p>
    <w:p>
      <w:pPr>
        <w:pStyle w:val="Normal"/>
        <w:numPr>
          <w:ilvl w:val="0"/>
          <w:numId w:val="0"/>
        </w:numPr>
        <w:jc w:val="center"/>
        <w:outlineLvl w:val="0"/>
        <w:rPr>
          <w:b/>
        </w:rPr>
      </w:pPr>
      <w:r>
        <w:rPr>
          <w:b/>
        </w:rPr>
        <w:t>FOR THE DISTRICT OF MARYLAND</w:t>
      </w:r>
    </w:p>
    <w:p>
      <w:pPr>
        <w:pStyle w:val="Normal"/>
        <w:numPr>
          <w:ilvl w:val="0"/>
          <w:numId w:val="0"/>
        </w:numPr>
        <w:jc w:val="center"/>
        <w:outlineLvl w:val="0"/>
        <w:rPr>
          <w:b/>
        </w:rPr>
      </w:pPr>
      <w:r>
        <w:rPr>
          <w:b/>
        </w:rPr>
        <w:t>(Northern Division)</w:t>
      </w:r>
    </w:p>
    <w:p>
      <w:pPr>
        <w:pStyle w:val="Normal"/>
        <w:rPr/>
      </w:pPr>
      <w:r>
        <w:rPr/>
      </w:r>
    </w:p>
    <w:p>
      <w:pPr>
        <w:pStyle w:val="Normal"/>
        <w:rPr/>
      </w:pPr>
      <w:r>
        <w:rPr/>
        <w:tab/>
        <w:tab/>
        <w:tab/>
        <w:tab/>
        <w:tab/>
        <w:tab/>
        <w:t>*</w:t>
      </w:r>
    </w:p>
    <w:p>
      <w:pPr>
        <w:pStyle w:val="Normal"/>
        <w:numPr>
          <w:ilvl w:val="0"/>
          <w:numId w:val="0"/>
        </w:numPr>
        <w:outlineLvl w:val="0"/>
        <w:rPr>
          <w:b/>
        </w:rPr>
      </w:pPr>
      <w:r>
        <w:rPr>
          <w:b/>
        </w:rPr>
        <w:t>BASE METAL TRADING, LTD.</w:t>
        <w:tab/>
        <w:tab/>
      </w:r>
    </w:p>
    <w:p>
      <w:pPr>
        <w:pStyle w:val="Normal"/>
        <w:rPr/>
      </w:pPr>
      <w:r>
        <w:rPr/>
        <w:tab/>
        <w:tab/>
        <w:tab/>
        <w:tab/>
        <w:tab/>
        <w:tab/>
        <w:t>*</w:t>
      </w:r>
    </w:p>
    <w:p>
      <w:pPr>
        <w:pStyle w:val="Normal"/>
        <w:rPr/>
      </w:pPr>
      <w:r>
        <w:rPr/>
        <w:tab/>
      </w:r>
      <w:r>
        <w:rPr>
          <w:b/>
        </w:rPr>
        <w:t>Plaintiff,</w:t>
        <w:tab/>
        <w:tab/>
        <w:tab/>
        <w:tab/>
      </w:r>
    </w:p>
    <w:p>
      <w:pPr>
        <w:pStyle w:val="Normal"/>
        <w:rPr/>
      </w:pPr>
      <w:r>
        <w:rPr/>
        <w:tab/>
        <w:tab/>
        <w:tab/>
        <w:tab/>
        <w:tab/>
        <w:tab/>
        <w:t>*</w:t>
      </w:r>
    </w:p>
    <w:p>
      <w:pPr>
        <w:pStyle w:val="Normal"/>
        <w:rPr/>
      </w:pPr>
      <w:r>
        <w:rPr/>
        <w:t>v.</w:t>
        <w:tab/>
        <w:tab/>
        <w:tab/>
        <w:tab/>
        <w:tab/>
        <w:tab/>
      </w:r>
    </w:p>
    <w:p>
      <w:pPr>
        <w:pStyle w:val="Normal"/>
        <w:rPr/>
      </w:pPr>
      <w:r>
        <w:rPr/>
        <w:tab/>
        <w:tab/>
        <w:tab/>
        <w:tab/>
        <w:tab/>
        <w:tab/>
        <w:t>*</w:t>
        <w:tab/>
      </w:r>
      <w:r>
        <w:rPr>
          <w:b/>
        </w:rPr>
        <w:t>Civil Action No.: MJG-00-1973</w:t>
      </w:r>
    </w:p>
    <w:p>
      <w:pPr>
        <w:pStyle w:val="Normal"/>
        <w:numPr>
          <w:ilvl w:val="0"/>
          <w:numId w:val="0"/>
        </w:numPr>
        <w:outlineLvl w:val="0"/>
        <w:rPr>
          <w:b/>
        </w:rPr>
      </w:pPr>
      <w:r>
        <w:rPr>
          <w:b/>
        </w:rPr>
        <w:t>OJSC “NOVOKUZNETSKY</w:t>
        <w:tab/>
        <w:tab/>
        <w:tab/>
      </w:r>
    </w:p>
    <w:p>
      <w:pPr>
        <w:pStyle w:val="Normal"/>
        <w:rPr/>
      </w:pPr>
      <w:r>
        <w:rPr>
          <w:b/>
        </w:rPr>
        <w:t>ALUMINUM FACTORY”</w:t>
      </w:r>
      <w:r>
        <w:rPr/>
        <w:tab/>
        <w:tab/>
        <w:tab/>
        <w:t>*</w:t>
      </w:r>
    </w:p>
    <w:p>
      <w:pPr>
        <w:pStyle w:val="Normal"/>
        <w:rPr/>
      </w:pPr>
      <w:r>
        <w:rPr/>
        <w:tab/>
        <w:tab/>
        <w:tab/>
        <w:tab/>
        <w:tab/>
        <w:tab/>
      </w:r>
    </w:p>
    <w:p>
      <w:pPr>
        <w:pStyle w:val="Normal"/>
        <w:rPr/>
      </w:pPr>
      <w:r>
        <w:rPr/>
        <w:tab/>
      </w:r>
      <w:r>
        <w:rPr>
          <w:b/>
        </w:rPr>
        <w:t>Defendant.</w:t>
      </w:r>
      <w:r>
        <w:rPr/>
        <w:tab/>
        <w:tab/>
        <w:tab/>
        <w:tab/>
        <w:t>*</w:t>
        <w:tab/>
      </w:r>
    </w:p>
    <w:p>
      <w:pPr>
        <w:pStyle w:val="Normal"/>
        <w:rPr/>
      </w:pPr>
      <w:r>
        <w:rPr/>
        <w:tab/>
        <w:tab/>
        <w:tab/>
        <w:tab/>
        <w:tab/>
        <w:tab/>
      </w:r>
    </w:p>
    <w:p>
      <w:pPr>
        <w:pStyle w:val="Normal"/>
        <w:rPr/>
      </w:pPr>
      <w:r>
        <w:rPr/>
        <w:tab/>
        <w:t>*</w:t>
        <w:tab/>
        <w:t>*</w:t>
        <w:tab/>
        <w:t>*</w:t>
        <w:tab/>
        <w:t>*</w:t>
        <w:tab/>
        <w:t>*</w:t>
        <w:tab/>
        <w:t>*</w:t>
        <w:tab/>
        <w:t>*</w:t>
        <w:tab/>
        <w:t>*</w:t>
        <w:tab/>
        <w:t>*</w:t>
        <w:tab/>
        <w:t>*</w:t>
        <w:tab/>
        <w:t>*</w:t>
        <w:tab/>
      </w:r>
    </w:p>
    <w:p>
      <w:pPr>
        <w:pStyle w:val="Normal"/>
        <w:rPr/>
      </w:pPr>
      <w:r>
        <w:rPr/>
      </w:r>
    </w:p>
    <w:p>
      <w:pPr>
        <w:pStyle w:val="Normal"/>
        <w:jc w:val="center"/>
        <w:rPr>
          <w:b/>
        </w:rPr>
      </w:pPr>
      <w:r>
        <w:rPr>
          <w:b/>
          <w:u w:val="single"/>
        </w:rPr>
        <w:t>SECOND DECLARATION OF MARTIN T.O. STANLEY</w:t>
      </w:r>
    </w:p>
    <w:p>
      <w:pPr>
        <w:pStyle w:val="Normal"/>
        <w:jc w:val="center"/>
        <w:rPr>
          <w:b/>
        </w:rPr>
      </w:pPr>
      <w:r>
        <w:rPr>
          <w:b/>
        </w:rPr>
      </w:r>
    </w:p>
    <w:p>
      <w:pPr>
        <w:pStyle w:val="Normal"/>
        <w:spacing w:lineRule="auto" w:line="480"/>
        <w:jc w:val="both"/>
        <w:rPr/>
      </w:pPr>
      <w:r>
        <w:rPr/>
        <w:tab/>
        <w:t>I, Martin T.O. Stanley, hereby submit this declaration in support of the Motion to Vacate Escrow submitted by Metal &amp; Commodity Co., Ltd., also known as Metallgesellschaft Ltd. (“MG Ltd.”), and MG Metal &amp; Commodity Corp. (“MG Corp.”), and state the following based on personal knowledge:</w:t>
      </w:r>
    </w:p>
    <w:p>
      <w:pPr>
        <w:pStyle w:val="Normal"/>
        <w:spacing w:lineRule="auto" w:line="480"/>
        <w:jc w:val="both"/>
        <w:rPr/>
      </w:pPr>
      <w:r>
        <w:rPr/>
        <w:tab/>
        <w:t>1.</w:t>
        <w:tab/>
        <w:t>I am the Operations Manager for MG Ltd., a corporation organized and existing under the laws of the United Kingdom. My office is located at One America Square, 17 Crosswall, London EC3N 2LB.</w:t>
      </w:r>
    </w:p>
    <w:p>
      <w:pPr>
        <w:pStyle w:val="Normal"/>
        <w:spacing w:lineRule="auto" w:line="480"/>
        <w:jc w:val="both"/>
        <w:rPr/>
      </w:pPr>
      <w:r>
        <w:rPr/>
        <w:tab/>
        <w:t>2.</w:t>
        <w:tab/>
        <w:t>MG Ltd. and its sister corporation, MG Corp. (collectively “MG Metal”), are engaged in the business of purchasing bulk quantities of various raw materials for resale to manufacturers. In particular, MG Metal is engaged in the business of purchasing aluminum for re-sale on the spot market.</w:t>
      </w:r>
    </w:p>
    <w:p>
      <w:pPr>
        <w:pStyle w:val="Normal"/>
        <w:spacing w:lineRule="auto" w:line="480"/>
        <w:jc w:val="both"/>
        <w:rPr/>
      </w:pPr>
      <w:r>
        <w:rPr/>
        <w:tab/>
        <w:t>3.</w:t>
        <w:tab/>
        <w:t>On July 7, 2000, MG Metal filed an Emergency Motion to Vacate Attachment or, in the Alternative, to Increase Bond with this Court. In support of that Motion, I submitted a declaration stating that the approximately 3582.548 metric tons of aluminum (the “Subject Property”) attached by plaintiff, Base Metal Trading, Ltd. (“Base Metal”), while it was onboard the M/V SALVADOR at Ruckert Terminal’s Lazaetto “A” Berth in the Port of Baltimore, was in fact owned by MG Metal. To evidence MG Metal’s exclusive right and title to the Subject Property, I attached contracts, bills of lading, invoices, wire transfers, and releases that not only documented the aluminum’s chain of title from its manufacture to attachment, but also produced evidence indicating that the Subject Property was not owned by OJSC “Novokuznetsky Aluminum Factory,” the defendant in the above-captioned action, as alleged by Base Metal. (</w:t>
      </w:r>
      <w:r>
        <w:rPr>
          <w:u w:val="single"/>
        </w:rPr>
        <w:t>See</w:t>
      </w:r>
      <w:r>
        <w:rPr/>
        <w:t xml:space="preserve"> Declaration of Martin T.O. Stanley and Exhibits A-K, attached to the Emergency Motion to Vacate Attachment or, in the Alternative, to Increase Bond, incorporated by reference herein).</w:t>
      </w:r>
    </w:p>
    <w:p>
      <w:pPr>
        <w:pStyle w:val="Normal"/>
        <w:spacing w:lineRule="auto" w:line="480"/>
        <w:ind w:firstLine="720" w:end="0"/>
        <w:jc w:val="both"/>
        <w:rPr/>
      </w:pPr>
      <w:r>
        <w:rPr/>
        <w:t>4.</w:t>
        <w:tab/>
        <w:t>Attached are documents demonstrating that Aluminium of Siberia (U.K.) Ltd. (“ASL”) purchased aluminum that included the Subject Property from Unimetal Limited, S.A. (“Unimetal”) for $13,700,000.00. ASL’s purchase of the aluminum including the Subject Property from Unimetal took place in four separate transactions. The first transaction is evidenced by an agreement entered into on May 8, 2000 between ASL and Unimetal for the transfer of $3,000,000.00 to Unimetal’s bank in payment for the purchase of aluminum and a subsequent wire transfer on that date for that amount. (</w:t>
      </w:r>
      <w:r>
        <w:rPr>
          <w:u w:val="single"/>
        </w:rPr>
        <w:t>See</w:t>
      </w:r>
      <w:r>
        <w:rPr/>
        <w:t xml:space="preserve"> May 8, 2000 Agreement between ASL and Unimetal, attached hereto as </w:t>
      </w:r>
      <w:r>
        <w:rPr>
          <w:b/>
        </w:rPr>
        <w:t>Exhibit 1</w:t>
      </w:r>
      <w:r>
        <w:rPr/>
        <w:t xml:space="preserve">; May 8, 2000 Wire Transfer from ASL to Unimetal, attached hereto as </w:t>
      </w:r>
      <w:r>
        <w:rPr>
          <w:b/>
        </w:rPr>
        <w:t>Exhibit 2</w:t>
      </w:r>
      <w:r>
        <w:rPr/>
        <w:t>). The second transaction is evidenced by an agreement entered into on May 10, 2000 between ASL and Unimetal for the transfer of $9,000,000.00 to Unimetal’s Bank in payment for the purchase of aluminum and a subsequent wire transfer on that date for that amount. (</w:t>
      </w:r>
      <w:r>
        <w:rPr>
          <w:u w:val="single"/>
        </w:rPr>
        <w:t>See</w:t>
      </w:r>
      <w:r>
        <w:rPr/>
        <w:t xml:space="preserve"> May 10, 2000 Agreement between ASL and Unimetal, attached hereto as </w:t>
      </w:r>
      <w:r>
        <w:rPr>
          <w:b/>
        </w:rPr>
        <w:t>Exhibit 3</w:t>
      </w:r>
      <w:r>
        <w:rPr/>
        <w:t xml:space="preserve">; May 10, 2000 Wire Transfer from ASL to Unimetal, attached hereto as </w:t>
      </w:r>
      <w:r>
        <w:rPr>
          <w:b/>
        </w:rPr>
        <w:t>Exhibit 4</w:t>
      </w:r>
      <w:r>
        <w:rPr/>
        <w:t>). The third transaction is evidenced by an agreement entered into on May 16, 2000 between ASL and Unimetal for the transfer of $1,000,000.00 to Unimetal’s Bank in payment for the purchase of aluminum and a subsequent wire transfer on that date for that amount. (</w:t>
      </w:r>
      <w:r>
        <w:rPr>
          <w:u w:val="single"/>
        </w:rPr>
        <w:t>See</w:t>
      </w:r>
      <w:r>
        <w:rPr/>
        <w:t xml:space="preserve"> May 16, 2000 Agreement between ASL and Unimetal, attached hereto as </w:t>
      </w:r>
      <w:r>
        <w:rPr>
          <w:b/>
        </w:rPr>
        <w:t>Exhibit 5</w:t>
      </w:r>
      <w:r>
        <w:rPr/>
        <w:t xml:space="preserve">; May 16, 2000 Wire Transfer from ASL to Unimetal, attached hereto as </w:t>
      </w:r>
      <w:r>
        <w:rPr>
          <w:b/>
        </w:rPr>
        <w:t>Exhibit 6</w:t>
      </w:r>
      <w:r>
        <w:rPr/>
        <w:t>.) The fourth transaction is evidenced by an agreement entered into on May 31, 2000 between ASL and Unimetal for the transfer of  $700,000.00 to Unimetal’s Bank in payment for the purchase of the aluminum and a subsequent wire transfer on that date for that amount. (</w:t>
      </w:r>
      <w:r>
        <w:rPr>
          <w:u w:val="single"/>
        </w:rPr>
        <w:t>See</w:t>
      </w:r>
      <w:r>
        <w:rPr/>
        <w:t xml:space="preserve"> May 31, 2000 Agreement between ASL and Unimetal, attached hereto as </w:t>
      </w:r>
      <w:r>
        <w:rPr>
          <w:b/>
        </w:rPr>
        <w:t>Exhibit 7</w:t>
      </w:r>
      <w:r>
        <w:rPr/>
        <w:t xml:space="preserve">; May 31, 2000 Wire Transfer of $700,000.00 from ASL to Unimetal, attached hereto as </w:t>
      </w:r>
      <w:r>
        <w:rPr>
          <w:b/>
        </w:rPr>
        <w:t>Exhibit 8</w:t>
      </w:r>
      <w:r>
        <w:rPr/>
        <w:t>). These documents illustrate that ASL paid substantial sums of money for the Subject Property and the other aluminum it purchased from Unimetal. These documents were provided to MG Metal and retained as proof of MG Metal’s title to the Subject Property.</w:t>
      </w:r>
    </w:p>
    <w:p>
      <w:pPr>
        <w:pStyle w:val="Normal"/>
        <w:spacing w:lineRule="auto" w:line="480"/>
        <w:jc w:val="both"/>
        <w:rPr/>
      </w:pPr>
      <w:r>
        <w:rPr/>
        <w:tab/>
        <w:t>5.</w:t>
        <w:tab/>
        <w:t>Since July 7, 2000, I have also conducted a search for records demonstrating MG Metal’s financial solvency. The latest financial statements for MG Corp. and its subsidiaries demonstrates that the company’s assets exceed its liabilities, the company has total assets in excess of $195 million, and the company’s net worth exceeds $35 million. (</w:t>
      </w:r>
      <w:r>
        <w:rPr>
          <w:u w:val="single"/>
        </w:rPr>
        <w:t>See</w:t>
      </w:r>
      <w:r>
        <w:rPr/>
        <w:t xml:space="preserve"> MG Corp.’s Consolidated Balance Sheets from September 1998 through 1999, attached hereto as </w:t>
      </w:r>
      <w:r>
        <w:rPr>
          <w:b/>
        </w:rPr>
        <w:t>Exhibit 9</w:t>
      </w:r>
      <w:r>
        <w:rPr/>
        <w:t xml:space="preserve">). </w:t>
      </w:r>
    </w:p>
    <w:p>
      <w:pPr>
        <w:pStyle w:val="Normal"/>
        <w:spacing w:lineRule="auto" w:line="480"/>
        <w:ind w:firstLine="720" w:end="0"/>
        <w:jc w:val="both"/>
        <w:rPr/>
      </w:pPr>
      <w:r>
        <w:rPr/>
      </w:r>
    </w:p>
    <w:p>
      <w:pPr>
        <w:pStyle w:val="Normal"/>
        <w:spacing w:lineRule="auto" w:line="480"/>
        <w:ind w:firstLine="720" w:end="0"/>
        <w:jc w:val="both"/>
        <w:rPr/>
      </w:pPr>
      <w:r>
        <w:rPr/>
        <w:t>I declare under the penalty of perjury under the laws of the United States of America that the foregoing is true and correct.</w:t>
      </w:r>
    </w:p>
    <w:p>
      <w:pPr>
        <w:pStyle w:val="Normal"/>
        <w:spacing w:lineRule="auto" w:line="480"/>
        <w:ind w:firstLine="720" w:end="0"/>
        <w:jc w:val="both"/>
        <w:rPr/>
      </w:pPr>
      <w:r>
        <w:rPr/>
      </w:r>
    </w:p>
    <w:p>
      <w:pPr>
        <w:pStyle w:val="Normal"/>
        <w:jc w:val="both"/>
        <w:rPr/>
      </w:pPr>
      <w:r>
        <w:rPr/>
        <w:t xml:space="preserve">Executed on: </w:t>
      </w:r>
      <w:r>
        <w:rPr>
          <w:u w:val="single"/>
        </w:rPr>
        <w:tab/>
        <w:tab/>
        <w:tab/>
        <w:tab/>
      </w:r>
      <w:r>
        <w:rPr/>
        <w:tab/>
        <w:tab/>
      </w:r>
      <w:r>
        <w:rPr>
          <w:u w:val="single"/>
        </w:rPr>
        <w:tab/>
        <w:tab/>
        <w:tab/>
        <w:tab/>
        <w:tab/>
      </w:r>
    </w:p>
    <w:p>
      <w:pPr>
        <w:pStyle w:val="Normal"/>
        <w:jc w:val="both"/>
        <w:rPr/>
      </w:pPr>
      <w:r>
        <w:rPr/>
        <w:tab/>
        <w:tab/>
        <w:tab/>
        <w:tab/>
        <w:tab/>
        <w:tab/>
        <w:tab/>
        <w:t>Martin T.O. Stanley</w:t>
      </w:r>
    </w:p>
    <w:p>
      <w:pPr>
        <w:pStyle w:val="Normal"/>
        <w:spacing w:lineRule="auto" w:line="480"/>
        <w:jc w:val="both"/>
        <w:rPr/>
      </w:pPr>
      <w:r>
        <w:rPr/>
      </w:r>
    </w:p>
    <w:p>
      <w:pPr>
        <w:pStyle w:val="Normal"/>
        <w:spacing w:lineRule="auto" w:line="480"/>
        <w:ind w:firstLine="720" w:end="0"/>
        <w:jc w:val="both"/>
        <w:rPr/>
      </w:pPr>
      <w:r>
        <w:rPr/>
      </w:r>
    </w:p>
    <w:p>
      <w:pPr>
        <w:pStyle w:val="Normal"/>
        <w:spacing w:lineRule="auto" w:line="480"/>
        <w:ind w:firstLine="72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t>BALT01:355932v1|G2222-000001|07\17\00</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2000-07-17T19:44:00Z</dcterms:created>
  <dc:creator>MS USER</dc:creator>
  <dc:description/>
  <dc:language>en-CA</dc:language>
  <cp:lastModifiedBy>Timothy L. Mullin, Jr.</cp:lastModifiedBy>
  <dcterms:modified xsi:type="dcterms:W3CDTF">2000-07-17T19:44:00Z</dcterms:modified>
  <cp:revision>2</cp:revision>
  <dc:subject/>
  <dc:title>IN THE UNITED STATES DISTRICT COURT</dc:title>
</cp:coreProperties>
</file>