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tab/>
        <w:tab/>
        <w:tab/>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November 9, 2001</w:t>
      </w:r>
    </w:p>
    <w:p>
      <w:pPr>
        <w:pStyle w:val="Normal"/>
        <w:rPr/>
      </w:pPr>
      <w:r>
        <w:rPr/>
      </w:r>
    </w:p>
    <w:p>
      <w:pPr>
        <w:pStyle w:val="Normal"/>
        <w:rPr/>
      </w:pPr>
      <w:r>
        <w:rPr/>
      </w:r>
    </w:p>
    <w:p>
      <w:pPr>
        <w:pStyle w:val="Normal"/>
        <w:rPr/>
      </w:pPr>
      <w:r>
        <w:rPr/>
      </w:r>
    </w:p>
    <w:p>
      <w:pPr>
        <w:pStyle w:val="Normal"/>
        <w:rPr/>
      </w:pPr>
      <w:r>
        <w:rPr/>
      </w:r>
    </w:p>
    <w:p>
      <w:pPr>
        <w:pStyle w:val="Normal"/>
        <w:rPr/>
      </w:pPr>
      <w:r>
        <w:rPr/>
        <w:t>William Powers, Jr.</w:t>
      </w:r>
    </w:p>
    <w:p>
      <w:pPr>
        <w:pStyle w:val="Normal"/>
        <w:rPr/>
      </w:pPr>
      <w:r>
        <w:rPr/>
        <w:t>Chairman, Special Committee</w:t>
      </w:r>
    </w:p>
    <w:p>
      <w:pPr>
        <w:pStyle w:val="Normal"/>
        <w:rPr/>
      </w:pPr>
      <w:r>
        <w:rPr/>
        <w:t>Enron Corp.</w:t>
      </w:r>
    </w:p>
    <w:p>
      <w:pPr>
        <w:pStyle w:val="Normal"/>
        <w:rPr/>
      </w:pPr>
      <w:r>
        <w:rPr/>
        <w:t>University of Texas School of Law</w:t>
      </w:r>
    </w:p>
    <w:p>
      <w:pPr>
        <w:pStyle w:val="Header"/>
        <w:tabs>
          <w:tab w:val="clear" w:pos="4320"/>
          <w:tab w:val="clear" w:pos="8640"/>
        </w:tabs>
        <w:rPr/>
      </w:pPr>
      <w:r>
        <w:rPr/>
        <w:t>727 E. William Keeton Street</w:t>
      </w:r>
    </w:p>
    <w:p>
      <w:pPr>
        <w:pStyle w:val="Normal"/>
        <w:rPr/>
      </w:pPr>
      <w:r>
        <w:rPr/>
        <w:t>Austin, TX 78705</w:t>
      </w:r>
    </w:p>
    <w:p>
      <w:pPr>
        <w:pStyle w:val="Normal"/>
        <w:rPr/>
      </w:pPr>
      <w:r>
        <w:rPr/>
      </w:r>
    </w:p>
    <w:p>
      <w:pPr>
        <w:pStyle w:val="Header"/>
        <w:tabs>
          <w:tab w:val="clear" w:pos="4320"/>
          <w:tab w:val="clear" w:pos="8640"/>
        </w:tabs>
        <w:rPr/>
      </w:pPr>
      <w:r>
        <w:rPr/>
        <w:t>Kenneth Lay</w:t>
      </w:r>
    </w:p>
    <w:p>
      <w:pPr>
        <w:pStyle w:val="Normal"/>
        <w:rPr/>
      </w:pPr>
      <w:r>
        <w:rPr/>
        <w:t>Chairman of the Board and Chief Executive Officer</w:t>
      </w:r>
    </w:p>
    <w:p>
      <w:pPr>
        <w:pStyle w:val="Normal"/>
        <w:rPr/>
      </w:pPr>
      <w:r>
        <w:rPr/>
        <w:t>Enron Corp.</w:t>
      </w:r>
    </w:p>
    <w:p>
      <w:pPr>
        <w:pStyle w:val="Normal"/>
        <w:rPr/>
      </w:pPr>
      <w:r>
        <w:rPr/>
        <w:t>1400 Smith Street</w:t>
      </w:r>
    </w:p>
    <w:p>
      <w:pPr>
        <w:pStyle w:val="Normal"/>
        <w:rPr/>
      </w:pPr>
      <w:r>
        <w:rPr/>
        <w:t>Houston, TX  77002</w:t>
      </w:r>
    </w:p>
    <w:p>
      <w:pPr>
        <w:pStyle w:val="Normal"/>
        <w:rPr/>
      </w:pPr>
      <w:r>
        <w:rPr/>
      </w:r>
    </w:p>
    <w:p>
      <w:pPr>
        <w:pStyle w:val="Normal"/>
        <w:rPr/>
      </w:pPr>
      <w:r>
        <w:rPr/>
        <w:t>Dear Messrs. Powers and Lay,</w:t>
      </w:r>
    </w:p>
    <w:p>
      <w:pPr>
        <w:pStyle w:val="Normal"/>
        <w:rPr/>
      </w:pPr>
      <w:r>
        <w:rPr/>
      </w:r>
    </w:p>
    <w:p>
      <w:pPr>
        <w:pStyle w:val="Normal"/>
        <w:ind w:firstLine="720" w:end="0"/>
        <w:rPr/>
      </w:pPr>
      <w:r>
        <w:rPr/>
        <w:t xml:space="preserve">We understand that Enron is now in talks with Dynegy Inc. regarding that company’s possible acquisition of Enron.  Given the lack of adequate financial disclosure to date and serious conflicts of interest on Enron’s board of directors, we are deeply concerned that sufficient disclosure will not be forthcoming to stabilize the market for the company’s stock and allow shareholders to properly evaluate a proposed transaction with Dynegy or some other suitor.  We therefore call upon you to immediately elect additional outside directors to join William Powers, the only current director not exposed to derivative litigation, on a special committee to oversee both disclosure to shareholders and negotiations concerning a possible merger or sale.  </w:t>
      </w:r>
    </w:p>
    <w:p>
      <w:pPr>
        <w:pStyle w:val="Normal"/>
        <w:ind w:firstLine="720" w:end="0"/>
        <w:rPr/>
      </w:pPr>
      <w:r>
        <w:rPr/>
      </w:r>
    </w:p>
    <w:p>
      <w:pPr>
        <w:pStyle w:val="Normal"/>
        <w:ind w:firstLine="720" w:end="0"/>
        <w:rPr/>
      </w:pPr>
      <w:r>
        <w:rPr/>
        <w:t xml:space="preserve">As noted in our letter of November 2nd, our institutions are substantial shareholders of Enron that are deeply troubled by the events of the past three weeks.  Enron shareholders are eager to consider any transaction that stabilizes Enron’s weakened financial condition or provides us with fair value for our investment.  But we are not prepared to allow the current </w:t>
      </w:r>
    </w:p>
    <w:p>
      <w:pPr>
        <w:pStyle w:val="Normal"/>
        <w:rPr/>
      </w:pPr>
      <w:r>
        <w:rPr/>
      </w:r>
    </w:p>
    <w:p>
      <w:pPr>
        <w:pStyle w:val="Normal"/>
        <w:rPr/>
      </w:pPr>
      <w:r>
        <w:rPr/>
      </w:r>
    </w:p>
    <w:p>
      <w:pPr>
        <w:pStyle w:val="Normal"/>
        <w:rPr/>
      </w:pPr>
      <w:r>
        <w:rPr/>
        <w:t xml:space="preserve">crisis to force a fire sale at a price below Enron’s fair value in a climate in which the market for Enron’s shares is driven not by information but by uncertainty.  </w:t>
      </w:r>
    </w:p>
    <w:p>
      <w:pPr>
        <w:pStyle w:val="Normal"/>
        <w:ind w:firstLine="720" w:end="0"/>
        <w:rPr/>
      </w:pPr>
      <w:r>
        <w:rPr/>
      </w:r>
    </w:p>
    <w:p>
      <w:pPr>
        <w:pStyle w:val="Normal"/>
        <w:ind w:firstLine="720" w:end="0"/>
        <w:rPr/>
      </w:pPr>
      <w:r>
        <w:rPr/>
        <w:t xml:space="preserve">Unfortunately, Enron has yet to provide sufficient disclosure of its complex off-balance sheet financing mechanisms to allow shareholders to properly value our investment.  These off-balance sheet transactions could expose the company to material contingent liabilities.  Moreover, Enron’s Form 8-K filed today with the Securities and Exchange Commission raises additional questions, including the possibility that Enron inflated its historical earnings as a result of selling assets to off-balance sheet, but related entities.  We are deeply concerned that full disclosure of these off-balance sheet arrangements, which is essential for valuing our investment, will not be provided to shareholders given the serious conflicts of interest on Enron’s board.   </w:t>
      </w:r>
    </w:p>
    <w:p>
      <w:pPr>
        <w:pStyle w:val="Normal"/>
        <w:ind w:firstLine="720" w:end="0"/>
        <w:rPr/>
      </w:pPr>
      <w:r>
        <w:rPr/>
      </w:r>
    </w:p>
    <w:p>
      <w:pPr>
        <w:pStyle w:val="Normal"/>
        <w:ind w:firstLine="720" w:end="0"/>
        <w:rPr/>
      </w:pPr>
      <w:r>
        <w:rPr/>
        <w:t>The fact is that, with the exception of William Powers, Enron’s current directors have serious conflicts of interest that could prevent them from fairly representing shareholders in connection with the sale of the company.  As you know, most of Enron’s directors have already been named as defendants in numerous derivative lawsuits arising from the company’s transactions with certain related parties.  In addition, the SEC is formally investigating these same transactions, which were approved by the board, and this investigation could result in civil or criminal charges against certain Enron officers and directors.  Against this backdrop, Enron’s directors have little incentive to provide the level of disclosure that shareholders will require to fairly evaluate a proposed transaction.</w:t>
      </w:r>
    </w:p>
    <w:p>
      <w:pPr>
        <w:pStyle w:val="Normal"/>
        <w:rPr/>
      </w:pPr>
      <w:r>
        <w:rPr/>
      </w:r>
    </w:p>
    <w:p>
      <w:pPr>
        <w:pStyle w:val="Normal"/>
        <w:ind w:firstLine="720" w:end="0"/>
        <w:rPr/>
      </w:pPr>
      <w:r>
        <w:rPr/>
        <w:t xml:space="preserve">The purpose of the recommended committee, therefore, would be to oversee all aspects of disclosure to shareholders as well as the negotiation of any sale or merger transactions.  This committee could operate as a subcommittee of the Special Committee of the Board established on October 31, but it should not include any incumbent directors other than Mr. Powers.  Rather, it should be comprised of highly qualified individuals with global reputations and unimpeachable credibility in the capital markets.  We are prepared to propose specific candidates for you to consider.  </w:t>
      </w:r>
    </w:p>
    <w:p>
      <w:pPr>
        <w:pStyle w:val="Normal"/>
        <w:rPr/>
      </w:pPr>
      <w:r>
        <w:rPr/>
      </w:r>
    </w:p>
    <w:p>
      <w:pPr>
        <w:pStyle w:val="Normal"/>
        <w:ind w:firstLine="720" w:end="0"/>
        <w:rPr/>
      </w:pPr>
      <w:r>
        <w:rPr/>
        <w:t>The AFL-CIO is a federation of trade unions that represent 13 million working men and women who participate in the capital markets as investors through defined benefit and defined contribution plans as well as through mutual funds and individual accounts.  Our member unions sponsor benefit plans with over $400 billion in assets, and our members are participants in public employee and collectively bargained single-employer plans with over $5 trillion in assets.  Our union-sponsored funds alone are the beneficial owners of approximately 3.1 million shares of Enron stock.  The AFL-CIO is also itself a shareholder.</w:t>
      </w:r>
    </w:p>
    <w:p>
      <w:pPr>
        <w:pStyle w:val="Normal"/>
        <w:ind w:firstLine="720" w:end="0"/>
        <w:rPr/>
      </w:pPr>
      <w:r>
        <w:rPr/>
      </w:r>
    </w:p>
    <w:p>
      <w:pPr>
        <w:pStyle w:val="Normal"/>
        <w:ind w:firstLine="720" w:end="0"/>
        <w:rPr/>
      </w:pPr>
      <w:r>
        <w:rPr/>
        <w:t>The Amalgamated Bank’s LongView Funds are collective investment trusts managing equity assets on behalf of workers’ pension funds.  The LongView Funds currently hold approximately 250,000 shares of Enron.</w:t>
      </w:r>
    </w:p>
    <w:p>
      <w:pPr>
        <w:pStyle w:val="Normal"/>
        <w:ind w:firstLine="720" w:end="0"/>
        <w:rPr/>
      </w:pPr>
      <w:r>
        <w:rPr/>
      </w:r>
      <w:r>
        <w:br w:type="page"/>
      </w:r>
    </w:p>
    <w:p>
      <w:pPr>
        <w:pStyle w:val="Normal"/>
        <w:ind w:firstLine="720" w:end="0"/>
        <w:rPr/>
      </w:pPr>
      <w:r>
        <w:rPr/>
      </w:r>
    </w:p>
    <w:p>
      <w:pPr>
        <w:pStyle w:val="Normal"/>
        <w:ind w:firstLine="720" w:end="0"/>
        <w:rPr/>
      </w:pPr>
      <w:r>
        <w:rPr/>
      </w:r>
    </w:p>
    <w:p>
      <w:pPr>
        <w:pStyle w:val="Normal"/>
        <w:ind w:firstLine="720" w:end="0"/>
        <w:rPr/>
      </w:pPr>
      <w:r>
        <w:rPr/>
        <w:t>We look forward to your timely response.  If you would like to discuss possible outside director candidates, please contact William Patterson, the director of the AFL-CIO’s Office of Investment, at (202) 637-3900.  Thank you.</w:t>
      </w:r>
    </w:p>
    <w:p>
      <w:pPr>
        <w:pStyle w:val="Normal"/>
        <w:rPr/>
      </w:pPr>
      <w:r>
        <w:rPr/>
      </w:r>
    </w:p>
    <w:p>
      <w:pPr>
        <w:pStyle w:val="Normal"/>
        <w:rPr/>
      </w:pPr>
      <w:r>
        <w:rPr/>
        <w:tab/>
        <w:tab/>
        <w:tab/>
        <w:tab/>
        <w:tab/>
        <w:t>Very truly yours,</w:t>
      </w:r>
    </w:p>
    <w:p>
      <w:pPr>
        <w:pStyle w:val="Normal"/>
        <w:rPr/>
      </w:pPr>
      <w:r>
        <w:rPr/>
      </w:r>
    </w:p>
    <w:p>
      <w:pPr>
        <w:pStyle w:val="Normal"/>
        <w:rPr/>
      </w:pPr>
      <w:r>
        <w:rPr/>
      </w:r>
    </w:p>
    <w:p>
      <w:pPr>
        <w:pStyle w:val="Normal"/>
        <w:rPr/>
      </w:pPr>
      <w:r>
        <w:rPr/>
      </w:r>
    </w:p>
    <w:p>
      <w:pPr>
        <w:pStyle w:val="Normal"/>
        <w:rPr/>
      </w:pPr>
      <w:r>
        <w:rPr/>
        <w:tab/>
        <w:tab/>
        <w:tab/>
        <w:tab/>
        <w:tab/>
        <w:t>Richard L. Trumka</w:t>
      </w:r>
    </w:p>
    <w:p>
      <w:pPr>
        <w:pStyle w:val="Normal"/>
        <w:rPr/>
      </w:pPr>
      <w:r>
        <w:rPr/>
        <w:tab/>
        <w:tab/>
        <w:tab/>
        <w:tab/>
        <w:tab/>
        <w:t>Secretary-Treasurer</w:t>
      </w:r>
    </w:p>
    <w:p>
      <w:pPr>
        <w:pStyle w:val="Normal"/>
        <w:rPr/>
      </w:pPr>
      <w:r>
        <w:rPr/>
        <w:tab/>
        <w:tab/>
        <w:tab/>
        <w:tab/>
        <w:tab/>
        <w:t>AFL-CIO</w:t>
      </w:r>
    </w:p>
    <w:p>
      <w:pPr>
        <w:pStyle w:val="Normal"/>
        <w:rPr/>
      </w:pPr>
      <w:r>
        <w:rPr/>
      </w:r>
    </w:p>
    <w:p>
      <w:pPr>
        <w:pStyle w:val="Normal"/>
        <w:rPr/>
      </w:pPr>
      <w:r>
        <w:rPr/>
      </w:r>
    </w:p>
    <w:p>
      <w:pPr>
        <w:pStyle w:val="Normal"/>
        <w:rPr/>
      </w:pPr>
      <w:r>
        <w:rPr/>
      </w:r>
    </w:p>
    <w:p>
      <w:pPr>
        <w:pStyle w:val="Normal"/>
        <w:rPr/>
      </w:pPr>
      <w:r>
        <w:rPr/>
        <w:tab/>
        <w:tab/>
        <w:tab/>
        <w:tab/>
        <w:tab/>
      </w:r>
      <w:r>
        <w:rPr>
          <w:szCs w:val="16"/>
        </w:rPr>
        <w:t>Gabriel P. Caprio</w:t>
      </w:r>
    </w:p>
    <w:p>
      <w:pPr>
        <w:pStyle w:val="Normal"/>
        <w:rPr/>
      </w:pPr>
      <w:r>
        <w:rPr/>
        <w:tab/>
        <w:tab/>
        <w:tab/>
        <w:tab/>
        <w:tab/>
      </w:r>
      <w:r>
        <w:rPr>
          <w:szCs w:val="16"/>
        </w:rPr>
        <w:t>President and CEO</w:t>
      </w:r>
    </w:p>
    <w:p>
      <w:pPr>
        <w:pStyle w:val="Normal"/>
        <w:ind w:firstLine="720" w:end="0"/>
        <w:rPr/>
      </w:pPr>
      <w:r>
        <w:rPr/>
        <w:tab/>
        <w:tab/>
        <w:tab/>
        <w:tab/>
        <w:t>Amalgamated Bank</w:t>
      </w:r>
    </w:p>
    <w:p>
      <w:pPr>
        <w:pStyle w:val="Normal"/>
        <w:rPr/>
      </w:pPr>
      <w:r>
        <w:rPr/>
      </w:r>
    </w:p>
    <w:p>
      <w:pPr>
        <w:pStyle w:val="Normal"/>
        <w:ind w:start="1440" w:end="0"/>
        <w:rPr>
          <w:szCs w:val="17"/>
        </w:rPr>
      </w:pPr>
      <w:r>
        <w:rPr/>
        <w:tab/>
      </w:r>
    </w:p>
    <w:p>
      <w:pPr>
        <w:pStyle w:val="Normal"/>
        <w:ind w:start="180" w:end="0"/>
        <w:rPr>
          <w:szCs w:val="17"/>
        </w:rPr>
      </w:pPr>
      <w:r>
        <w:rPr>
          <w:szCs w:val="17"/>
        </w:rPr>
        <w:t>cc:</w:t>
        <w:tab/>
        <w:tab/>
        <w:t xml:space="preserve">Enron Board of Directors </w:t>
      </w:r>
    </w:p>
    <w:sectPr>
      <w:headerReference w:type="default" r:id="rId2"/>
      <w:headerReference w:type="first" r:id="rId3"/>
      <w:type w:val="nextPage"/>
      <w:pgSz w:w="12240" w:h="15840"/>
      <w:pgMar w:left="1440" w:right="1440" w:gutter="0" w:header="720" w:top="1080" w:footer="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r>
  </w:p>
  <w:p>
    <w:pPr>
      <w:pStyle w:val="Header"/>
      <w:rPr/>
    </w:pPr>
    <w:r>
      <w:rPr>
        <w:rStyle w:val="PageNumber"/>
      </w:rPr>
      <w:t>William Powers, Jr.</w:t>
    </w:r>
  </w:p>
  <w:p>
    <w:pPr>
      <w:pStyle w:val="Header"/>
      <w:rPr/>
    </w:pPr>
    <w:r>
      <w:rPr>
        <w:rStyle w:val="PageNumber"/>
      </w:rPr>
      <w:t>Kenneth Lay</w:t>
    </w:r>
  </w:p>
  <w:p>
    <w:pPr>
      <w:pStyle w:val="Header"/>
      <w:rPr/>
    </w:pPr>
    <w:r>
      <w:rPr>
        <w:rStyle w:val="PageNumber"/>
      </w:rPr>
      <w:t>November 9, 2001</w:t>
    </w:r>
  </w:p>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Indent">
    <w:name w:val="Body Text Inden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2001-11-09T17:13:00Z</dcterms:created>
  <dc:creator>Beth Young</dc:creator>
  <dc:description/>
  <dc:language>en-CA</dc:language>
  <cp:lastModifiedBy>AFL-CIO</cp:lastModifiedBy>
  <cp:lastPrinted>2001-11-09T11:29:00Z</cp:lastPrinted>
  <dcterms:modified xsi:type="dcterms:W3CDTF">2001-11-09T17:13:00Z</dcterms:modified>
  <cp:revision>2</cp:revision>
  <dc:subject/>
  <dc:title/>
</cp:coreProperties>
</file>