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Heading1"/>
        <w:rPr/>
      </w:pPr>
      <w:r>
        <w:rPr/>
        <w:t>SECOND</w:t>
      </w:r>
    </w:p>
    <w:p>
      <w:pPr>
        <w:pStyle w:val="Heading1"/>
        <w:rPr/>
      </w:pPr>
      <w:r>
        <w:rPr/>
        <w:t>AMENDMENT TO PURCHASE AND SALE AGREEMENT</w:t>
      </w:r>
    </w:p>
    <w:p>
      <w:pPr>
        <w:pStyle w:val="Normal"/>
        <w:jc w:val="both"/>
        <w:rPr/>
      </w:pPr>
      <w:r>
        <w:rPr/>
      </w:r>
    </w:p>
    <w:p>
      <w:pPr>
        <w:pStyle w:val="Normal"/>
        <w:jc w:val="both"/>
        <w:rPr/>
      </w:pPr>
      <w:r>
        <w:rPr/>
      </w:r>
    </w:p>
    <w:p>
      <w:pPr>
        <w:pStyle w:val="Normal"/>
        <w:jc w:val="both"/>
        <w:rPr/>
      </w:pPr>
      <w:r>
        <w:rPr/>
        <w:tab/>
        <w:t xml:space="preserve">THIS AMENDMENT, made and entered into effective as of the 31st day of May, 2001, by and between </w:t>
      </w:r>
      <w:r>
        <w:rPr>
          <w:b/>
          <w:bCs/>
        </w:rPr>
        <w:t>Enron Corp.</w:t>
      </w:r>
      <w:r>
        <w:rPr/>
        <w:t>, an Oregon corporation (“</w:t>
      </w:r>
      <w:r>
        <w:rPr>
          <w:u w:val="single"/>
        </w:rPr>
        <w:t>Seller</w:t>
      </w:r>
      <w:r>
        <w:rPr/>
        <w:t xml:space="preserve">”), and </w:t>
      </w:r>
      <w:r>
        <w:rPr>
          <w:b/>
          <w:bCs/>
        </w:rPr>
        <w:t xml:space="preserve">AEP Energy Services Gas Holding Company, </w:t>
      </w:r>
      <w:r>
        <w:rPr/>
        <w:t>a Delaware corporation (“</w:t>
      </w:r>
      <w:r>
        <w:rPr>
          <w:u w:val="single"/>
        </w:rPr>
        <w:t>Buyer</w:t>
      </w:r>
      <w:r>
        <w:rPr/>
        <w:t>”):</w:t>
      </w:r>
    </w:p>
    <w:p>
      <w:pPr>
        <w:pStyle w:val="Normal"/>
        <w:jc w:val="both"/>
        <w:rPr/>
      </w:pPr>
      <w:r>
        <w:rPr/>
      </w:r>
    </w:p>
    <w:p>
      <w:pPr>
        <w:pStyle w:val="Heading2"/>
        <w:ind w:hanging="0" w:start="0"/>
        <w:rPr/>
      </w:pPr>
      <w:r>
        <w:rPr/>
        <w:t>WITNESSETH</w:t>
      </w:r>
    </w:p>
    <w:p>
      <w:pPr>
        <w:pStyle w:val="Normal"/>
        <w:jc w:val="center"/>
        <w:rPr/>
      </w:pPr>
      <w:r>
        <w:rPr/>
      </w:r>
    </w:p>
    <w:p>
      <w:pPr>
        <w:pStyle w:val="Normal"/>
        <w:jc w:val="both"/>
        <w:rPr/>
      </w:pPr>
      <w:r>
        <w:rPr/>
        <w:tab/>
        <w:t>THAT WHEREAS, Seller and Buyer have entered into that certain Purchase and Sale Agreement dated effective December 27, 2000, as amended by Amendment dated as of May 17, 2001 (the “</w:t>
      </w:r>
      <w:r>
        <w:rPr>
          <w:u w:val="single"/>
        </w:rPr>
        <w:t>Agreement</w:t>
      </w:r>
      <w:r>
        <w:rPr/>
        <w:t>”), wherein Buyer has agreed to purchase from Seller all of the issued and outstanding shares of Houston Pipe Line Company, a Delaware corporation and all the issued and outstanding membership interests in Lodisco, LLC, a Delaware limited liability company; and</w:t>
      </w:r>
    </w:p>
    <w:p>
      <w:pPr>
        <w:pStyle w:val="Normal"/>
        <w:jc w:val="both"/>
        <w:rPr/>
      </w:pPr>
      <w:r>
        <w:rPr/>
      </w:r>
    </w:p>
    <w:p>
      <w:pPr>
        <w:pStyle w:val="Normal"/>
        <w:ind w:firstLine="720" w:end="0"/>
        <w:jc w:val="both"/>
        <w:rPr/>
      </w:pPr>
      <w:r>
        <w:rPr/>
        <w:t>WHEREAS, Buyer and Seller now mutually desire to further amend the Agreement as hereinafter provided;</w:t>
      </w:r>
    </w:p>
    <w:p>
      <w:pPr>
        <w:pStyle w:val="Normal"/>
        <w:ind w:firstLine="720" w:end="0"/>
        <w:jc w:val="both"/>
        <w:rPr/>
      </w:pPr>
      <w:r>
        <w:rPr/>
      </w:r>
    </w:p>
    <w:p>
      <w:pPr>
        <w:pStyle w:val="Normal"/>
        <w:ind w:firstLine="720" w:end="0"/>
        <w:jc w:val="both"/>
        <w:rPr/>
      </w:pPr>
      <w:r>
        <w:rPr/>
        <w:t>NOW THEREFORE, in consideration of the mutual covenants and agreements herein set forth, the parties hereto agree that the Agreement is amended effective as of the date first hereinabove written, as follows:</w:t>
      </w:r>
    </w:p>
    <w:p>
      <w:pPr>
        <w:pStyle w:val="Normal"/>
        <w:jc w:val="both"/>
        <w:rPr/>
      </w:pPr>
      <w:r>
        <w:rPr/>
      </w:r>
    </w:p>
    <w:p>
      <w:pPr>
        <w:pStyle w:val="Normal"/>
        <w:jc w:val="both"/>
        <w:rPr/>
      </w:pPr>
      <w:r>
        <w:rPr/>
        <w:t>1.</w:t>
        <w:tab/>
        <w:t>Section 1.1 of the Agreement is hereby amended by deleting the definitions “A/S Line Additional Liabilities” and “A/S Line Additional Requirements.”</w:t>
      </w:r>
    </w:p>
    <w:p>
      <w:pPr>
        <w:pStyle w:val="Normal"/>
        <w:ind w:start="720" w:end="0"/>
        <w:rPr/>
      </w:pPr>
      <w:r>
        <w:rPr/>
      </w:r>
    </w:p>
    <w:p>
      <w:pPr>
        <w:pStyle w:val="Normal"/>
        <w:jc w:val="both"/>
        <w:rPr/>
      </w:pPr>
      <w:r>
        <w:rPr/>
        <w:t>2.</w:t>
        <w:tab/>
        <w:t>Section 7.8(b)(i) of the Agreement is hereby amended by deleting the phrase “Retained A/S Line Additional Liabilities” from subsection (i).</w:t>
      </w:r>
    </w:p>
    <w:p>
      <w:pPr>
        <w:pStyle w:val="Normal"/>
        <w:jc w:val="both"/>
        <w:rPr/>
      </w:pPr>
      <w:r>
        <w:rPr/>
      </w:r>
    </w:p>
    <w:p>
      <w:pPr>
        <w:pStyle w:val="Normal"/>
        <w:jc w:val="both"/>
        <w:rPr/>
      </w:pPr>
      <w:r>
        <w:rPr/>
        <w:t>3.</w:t>
        <w:tab/>
        <w:t xml:space="preserve">Sections 8.7 and 9.15 of the Agreement are hereby deleted in their entirety. </w:t>
      </w:r>
    </w:p>
    <w:p>
      <w:pPr>
        <w:pStyle w:val="Normal"/>
        <w:jc w:val="both"/>
        <w:rPr/>
      </w:pPr>
      <w:r>
        <w:rPr/>
      </w:r>
    </w:p>
    <w:p>
      <w:pPr>
        <w:pStyle w:val="Normal"/>
        <w:jc w:val="both"/>
        <w:rPr/>
      </w:pPr>
      <w:r>
        <w:rPr/>
        <w:t>4.</w:t>
        <w:tab/>
        <w:t xml:space="preserve">Article 13 of the Agreement is hereby amended in its entirety to read as follows: </w:t>
      </w:r>
    </w:p>
    <w:p>
      <w:pPr>
        <w:pStyle w:val="Normal"/>
        <w:rPr/>
      </w:pPr>
      <w:r>
        <w:rPr/>
      </w:r>
    </w:p>
    <w:p>
      <w:pPr>
        <w:pStyle w:val="BodyTextIndent"/>
        <w:rPr/>
      </w:pPr>
      <w:r>
        <w:rPr/>
        <w:t>With respect to the rupture that occurred on the A/S Line on December 4, 2000 (the “A/S Line Incident”), Seller has agreed to retain the following liabilities of the Company (the “Retained A/S Line Liabilities”): (1) all Losses allocable to the Company that directly relate to or arise our of the A/S Line Incident including (a) repairs to the ruptured segment of the A/S Line required as a direct result of the A/S Line Incident, (b) litigation, claims or proceedings directly arising out of or related to the A/S Line Incident brought by any Person, except Buyer, Buyer’s Affiliates and the Acquired Companies and (c) fines, penalties and assessments of Governmental Entities directly arising out of or relating to the A/S Line Incident, (2) all costs allocable to the Company that are directly attributable to the completion of investigation of the Expanded A/S Line Segment (as defined below) as outlined in letter dated December 15, 2000 from El Paso Field Services to the Texas Railroad Commission and in the Report of _____________ dated _____________ (the “A/S Report”), copies of which have been provided to Buyer, and (3) all costs allocable to the Company that are directly attributable to repairs or replacements on the Expanded A/S Line Segment that are (i) necessary to cure areas of significant wall loss identified in the A/S Report and (ii) required by the Texas Railroad Commission to be completed before the reactivation of the A/S Line following the A/S Line Incident (the “Required Repairs”).  The Expanded A/S Line Segment shall mean that section of the A/S Line that is 60 miles in length and commences at mainline valve 812-1A and ends at mainline valve 816.   As used in this Article, the phrase “allocable to the Company” shall mean the Company’s share of any costs or obligations determined in accordance with the Ownership Agreement between Channel Industries Gas Company and the Company dated January 1, 1997.</w:t>
      </w:r>
    </w:p>
    <w:p>
      <w:pPr>
        <w:pStyle w:val="Normal"/>
        <w:jc w:val="both"/>
        <w:rPr/>
      </w:pPr>
      <w:r>
        <w:rPr/>
      </w:r>
    </w:p>
    <w:p>
      <w:pPr>
        <w:pStyle w:val="Normal"/>
        <w:jc w:val="both"/>
        <w:rPr/>
      </w:pPr>
      <w:r>
        <w:rPr/>
        <w:t>5.</w:t>
        <w:tab/>
        <w:t>All capitalized terms used in this amendment that are not defined herein shall have the meaning ascribed to such terms in the Agreement:</w:t>
      </w:r>
    </w:p>
    <w:p>
      <w:pPr>
        <w:pStyle w:val="Normal"/>
        <w:ind w:hanging="720" w:start="1440" w:end="0"/>
        <w:jc w:val="both"/>
        <w:rPr/>
      </w:pPr>
      <w:r>
        <w:rPr/>
      </w:r>
    </w:p>
    <w:p>
      <w:pPr>
        <w:pStyle w:val="Normal"/>
        <w:jc w:val="both"/>
        <w:rPr/>
      </w:pPr>
      <w:r>
        <w:rPr/>
        <w:t>6.</w:t>
        <w:tab/>
        <w:t>Except as expressly amended hereby, the Agreement remains unchanged and in full force and effect.</w:t>
      </w:r>
    </w:p>
    <w:p>
      <w:pPr>
        <w:pStyle w:val="Normal"/>
        <w:jc w:val="both"/>
        <w:rPr/>
      </w:pPr>
      <w:r>
        <w:rPr/>
      </w:r>
    </w:p>
    <w:p>
      <w:pPr>
        <w:pStyle w:val="Normal"/>
        <w:jc w:val="both"/>
        <w:rPr/>
      </w:pPr>
      <w:r>
        <w:rPr/>
        <w:tab/>
        <w:t xml:space="preserve">IN WITNESS WHEREOF, the parties hereto have caused this instrument to be executed in duplicate originals on this the 31st day of May 2001. </w:t>
      </w:r>
    </w:p>
    <w:p>
      <w:pPr>
        <w:pStyle w:val="Normal"/>
        <w:jc w:val="both"/>
        <w:rPr/>
      </w:pPr>
      <w:r>
        <w:rPr/>
        <w:tab/>
        <w:tab/>
        <w:tab/>
        <w:tab/>
        <w:tab/>
        <w:tab/>
      </w:r>
    </w:p>
    <w:p>
      <w:pPr>
        <w:pStyle w:val="Normal"/>
        <w:jc w:val="both"/>
        <w:rPr/>
      </w:pPr>
      <w:r>
        <w:rPr/>
      </w:r>
    </w:p>
    <w:p>
      <w:pPr>
        <w:pStyle w:val="Normal"/>
        <w:jc w:val="both"/>
        <w:rPr/>
      </w:pPr>
      <w:r>
        <w:rPr/>
      </w:r>
    </w:p>
    <w:p>
      <w:pPr>
        <w:pStyle w:val="Normal"/>
        <w:jc w:val="both"/>
        <w:rPr>
          <w:b/>
          <w:bCs/>
        </w:rPr>
      </w:pPr>
      <w:r>
        <w:rPr>
          <w:b/>
          <w:bCs/>
        </w:rPr>
        <w:t>AEP ENERGY SERVICES GAS</w:t>
      </w:r>
    </w:p>
    <w:p>
      <w:pPr>
        <w:pStyle w:val="Normal"/>
        <w:jc w:val="both"/>
        <w:rPr>
          <w:b/>
          <w:bCs/>
        </w:rPr>
      </w:pPr>
      <w:r>
        <w:rPr>
          <w:b/>
          <w:bCs/>
        </w:rPr>
        <w:t>HOLDING COMPANY</w:t>
      </w:r>
    </w:p>
    <w:p>
      <w:pPr>
        <w:pStyle w:val="Normal"/>
        <w:jc w:val="both"/>
        <w:rPr/>
      </w:pPr>
      <w:r>
        <w:rPr/>
      </w:r>
    </w:p>
    <w:p>
      <w:pPr>
        <w:pStyle w:val="Normal"/>
        <w:jc w:val="both"/>
        <w:rPr/>
      </w:pPr>
      <w:r>
        <w:rPr/>
      </w:r>
    </w:p>
    <w:p>
      <w:pPr>
        <w:pStyle w:val="Normal"/>
        <w:jc w:val="both"/>
        <w:rPr/>
      </w:pPr>
      <w:r>
        <w:rPr/>
        <w:t>By:</w:t>
      </w:r>
      <w:r>
        <w:rPr>
          <w:u w:val="single"/>
        </w:rPr>
        <w:tab/>
        <w:tab/>
        <w:tab/>
        <w:tab/>
        <w:tab/>
        <w:tab/>
      </w:r>
    </w:p>
    <w:p>
      <w:pPr>
        <w:pStyle w:val="Normal"/>
        <w:jc w:val="both"/>
        <w:rPr/>
      </w:pPr>
      <w:r>
        <w:rPr/>
        <w:t>Name:</w:t>
      </w:r>
      <w:r>
        <w:rPr>
          <w:u w:val="single"/>
        </w:rPr>
        <w:tab/>
        <w:tab/>
        <w:tab/>
        <w:tab/>
        <w:tab/>
        <w:tab/>
      </w:r>
    </w:p>
    <w:p>
      <w:pPr>
        <w:pStyle w:val="Normal"/>
        <w:jc w:val="both"/>
        <w:rPr/>
      </w:pPr>
      <w:r>
        <w:rPr/>
        <w:t>Title:</w:t>
      </w:r>
      <w:r>
        <w:rPr>
          <w:u w:val="single"/>
        </w:rPr>
        <w:tab/>
        <w:tab/>
        <w:tab/>
        <w:tab/>
        <w:tab/>
        <w:tab/>
      </w:r>
    </w:p>
    <w:p>
      <w:pPr>
        <w:pStyle w:val="Normal"/>
        <w:jc w:val="both"/>
        <w:rPr>
          <w:u w:val="single"/>
        </w:rPr>
      </w:pPr>
      <w:r>
        <w:rPr>
          <w:u w:val="single"/>
        </w:rPr>
      </w:r>
    </w:p>
    <w:p>
      <w:pPr>
        <w:pStyle w:val="Normal"/>
        <w:jc w:val="both"/>
        <w:rPr>
          <w:b/>
          <w:bCs/>
        </w:rPr>
      </w:pPr>
      <w:r>
        <w:rPr>
          <w:b/>
          <w:bCs/>
        </w:rPr>
        <w:t>ENRON CORP.</w:t>
      </w:r>
    </w:p>
    <w:p>
      <w:pPr>
        <w:pStyle w:val="Normal"/>
        <w:jc w:val="both"/>
        <w:rPr>
          <w:b/>
          <w:bCs/>
        </w:rPr>
      </w:pPr>
      <w:r>
        <w:rPr>
          <w:b/>
          <w:bCs/>
        </w:rPr>
      </w:r>
    </w:p>
    <w:p>
      <w:pPr>
        <w:pStyle w:val="Normal"/>
        <w:jc w:val="both"/>
        <w:rPr>
          <w:b/>
          <w:bCs/>
        </w:rPr>
      </w:pPr>
      <w:r>
        <w:rPr>
          <w:b/>
          <w:bCs/>
        </w:rPr>
      </w:r>
    </w:p>
    <w:p>
      <w:pPr>
        <w:pStyle w:val="Normal"/>
        <w:jc w:val="both"/>
        <w:rPr/>
      </w:pPr>
      <w:r>
        <w:rPr/>
        <w:t>By:</w:t>
      </w:r>
      <w:r>
        <w:rPr>
          <w:u w:val="single"/>
        </w:rPr>
        <w:tab/>
        <w:tab/>
        <w:tab/>
        <w:tab/>
        <w:tab/>
        <w:tab/>
      </w:r>
    </w:p>
    <w:p>
      <w:pPr>
        <w:pStyle w:val="Normal"/>
        <w:jc w:val="both"/>
        <w:rPr/>
      </w:pPr>
      <w:r>
        <w:rPr/>
        <w:t>Name:</w:t>
      </w:r>
      <w:r>
        <w:rPr>
          <w:u w:val="single"/>
        </w:rPr>
        <w:tab/>
        <w:tab/>
        <w:tab/>
        <w:tab/>
        <w:tab/>
        <w:tab/>
      </w:r>
    </w:p>
    <w:p>
      <w:pPr>
        <w:pStyle w:val="Normal"/>
        <w:jc w:val="both"/>
        <w:rPr/>
      </w:pPr>
      <w:r>
        <w:rPr/>
        <w:t>Title:</w:t>
      </w:r>
      <w:r>
        <w:rPr>
          <w:u w:val="single"/>
        </w:rPr>
        <w:tab/>
        <w:tab/>
        <w:tab/>
        <w:tab/>
        <w:tab/>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/mnt/main-storage/datasets/enron-docs/doc/Second_Amendment_to_PSA.doc3.doc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720" w:start="720" w:end="0"/>
      <w:jc w:val="center"/>
      <w:outlineLvl w:val="0"/>
    </w:pPr>
    <w:rPr>
      <w:b/>
      <w:bCs/>
    </w:rPr>
  </w:style>
  <w:style w:type="paragraph" w:styleId="Heading2">
    <w:name w:val="heading 2"/>
    <w:basedOn w:val="Normal"/>
    <w:next w:val="Normal"/>
    <w:qFormat/>
    <w:pPr>
      <w:keepNext w:val="true"/>
      <w:numPr>
        <w:ilvl w:val="1"/>
        <w:numId w:val="1"/>
      </w:numPr>
      <w:jc w:val="center"/>
      <w:outlineLvl w:val="1"/>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2001-05-25T13:22:00Z</dcterms:created>
  <dc:creator>pradfor</dc:creator>
  <dc:description/>
  <dc:language>en-CA</dc:language>
  <cp:lastModifiedBy>akoehle</cp:lastModifiedBy>
  <cp:lastPrinted>2001-05-23T13:23:00Z</cp:lastPrinted>
  <dcterms:modified xsi:type="dcterms:W3CDTF">2001-05-25T13:22:00Z</dcterms:modified>
  <cp:revision>2</cp:revision>
  <dc:subject/>
  <dc:title>AMENDMENT</dc:title>
</cp:coreProperties>
</file>