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20"/>
          <w:szCs w:val="20"/>
        </w:rPr>
      </w:pPr>
      <w:r>
        <w:rPr>
          <w:sz w:val="20"/>
          <w:szCs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5680" cy="989965"/>
                    </a:xfrm>
                    <a:prstGeom prst="rect">
                      <a:avLst/>
                    </a:prstGeom>
                    <a:noFill/>
                  </pic:spPr>
                </pic:pic>
              </a:graphicData>
            </a:graphic>
          </wp:inline>
        </w:drawing>
      </w:r>
    </w:p>
    <w:p>
      <w:pPr>
        <w:pStyle w:val="Heading"/>
        <w:jc w:val="both"/>
        <w:rPr>
          <w:sz w:val="20"/>
          <w:szCs w:val="20"/>
        </w:rPr>
      </w:pPr>
      <w:r>
        <w:rPr>
          <w:sz w:val="20"/>
          <w:szCs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both"/>
              <w:rPr>
                <w:sz w:val="20"/>
                <w:szCs w:val="20"/>
              </w:rPr>
            </w:pPr>
            <w:r>
              <w:rPr>
                <w:sz w:val="20"/>
                <w:szCs w:val="20"/>
              </w:rPr>
              <w:t>To:</w:t>
            </w:r>
          </w:p>
        </w:tc>
        <w:tc>
          <w:tcPr>
            <w:tcW w:w="6045" w:type="dxa"/>
            <w:tcBorders/>
          </w:tcPr>
          <w:p>
            <w:pPr>
              <w:pStyle w:val="To"/>
              <w:jc w:val="both"/>
              <w:rPr/>
            </w:pPr>
            <w:r>
              <w:rPr/>
              <w:t>Distribution</w:t>
            </w:r>
          </w:p>
        </w:tc>
        <w:tc>
          <w:tcPr>
            <w:tcW w:w="990" w:type="dxa"/>
            <w:tcBorders/>
          </w:tcPr>
          <w:p>
            <w:pPr>
              <w:pStyle w:val="Normal"/>
              <w:snapToGrid w:val="false"/>
              <w:ind w:start="-180" w:end="0"/>
              <w:jc w:val="both"/>
              <w:rPr>
                <w:sz w:val="20"/>
                <w:szCs w:val="20"/>
              </w:rPr>
            </w:pPr>
            <w:r>
              <w:rPr>
                <w:sz w:val="20"/>
                <w:szCs w:val="20"/>
              </w:rPr>
            </w:r>
          </w:p>
        </w:tc>
        <w:tc>
          <w:tcPr>
            <w:tcW w:w="2965" w:type="dxa"/>
            <w:tcBorders/>
          </w:tcPr>
          <w:p>
            <w:pPr>
              <w:pStyle w:val="Normal"/>
              <w:snapToGrid w:val="false"/>
              <w:jc w:val="both"/>
              <w:rPr>
                <w:sz w:val="20"/>
                <w:szCs w:val="20"/>
              </w:rPr>
            </w:pPr>
            <w:r>
              <w:rPr>
                <w:sz w:val="20"/>
                <w:szCs w:val="20"/>
              </w:rPr>
            </w:r>
          </w:p>
        </w:tc>
      </w:tr>
      <w:tr>
        <w:trPr>
          <w:trHeight w:val="216" w:hRule="exact"/>
        </w:trPr>
        <w:tc>
          <w:tcPr>
            <w:tcW w:w="708" w:type="dxa"/>
            <w:tcBorders/>
          </w:tcPr>
          <w:p>
            <w:pPr>
              <w:pStyle w:val="Normal"/>
              <w:snapToGrid w:val="false"/>
              <w:ind w:start="-180" w:end="0"/>
              <w:jc w:val="both"/>
              <w:rPr>
                <w:sz w:val="20"/>
                <w:szCs w:val="20"/>
              </w:rPr>
            </w:pPr>
            <w:r>
              <w:rPr>
                <w:sz w:val="20"/>
                <w:szCs w:val="20"/>
              </w:rPr>
            </w:r>
          </w:p>
        </w:tc>
        <w:tc>
          <w:tcPr>
            <w:tcW w:w="6045" w:type="dxa"/>
            <w:tcBorders/>
          </w:tcPr>
          <w:p>
            <w:pPr>
              <w:pStyle w:val="Normal"/>
              <w:snapToGrid w:val="false"/>
              <w:jc w:val="both"/>
              <w:rPr>
                <w:sz w:val="20"/>
                <w:szCs w:val="20"/>
              </w:rPr>
            </w:pPr>
            <w:r>
              <w:rPr>
                <w:sz w:val="20"/>
                <w:szCs w:val="20"/>
              </w:rPr>
            </w:r>
          </w:p>
        </w:tc>
        <w:tc>
          <w:tcPr>
            <w:tcW w:w="990" w:type="dxa"/>
            <w:tcBorders/>
          </w:tcPr>
          <w:p>
            <w:pPr>
              <w:pStyle w:val="Normal"/>
              <w:snapToGrid w:val="false"/>
              <w:ind w:start="-180" w:end="0"/>
              <w:jc w:val="both"/>
              <w:rPr>
                <w:sz w:val="20"/>
                <w:szCs w:val="20"/>
              </w:rPr>
            </w:pPr>
            <w:r>
              <w:rPr>
                <w:sz w:val="20"/>
                <w:szCs w:val="20"/>
              </w:rPr>
            </w:r>
          </w:p>
        </w:tc>
        <w:tc>
          <w:tcPr>
            <w:tcW w:w="2965" w:type="dxa"/>
            <w:tcBorders/>
          </w:tcPr>
          <w:p>
            <w:pPr>
              <w:pStyle w:val="Normal"/>
              <w:snapToGrid w:val="false"/>
              <w:jc w:val="both"/>
              <w:rPr>
                <w:sz w:val="20"/>
                <w:szCs w:val="20"/>
              </w:rPr>
            </w:pPr>
            <w:r>
              <w:rPr>
                <w:sz w:val="20"/>
                <w:szCs w:val="20"/>
              </w:rPr>
            </w:r>
          </w:p>
        </w:tc>
      </w:tr>
      <w:tr>
        <w:trPr>
          <w:trHeight w:val="300" w:hRule="exact"/>
        </w:trPr>
        <w:tc>
          <w:tcPr>
            <w:tcW w:w="708" w:type="dxa"/>
            <w:tcBorders/>
          </w:tcPr>
          <w:p>
            <w:pPr>
              <w:pStyle w:val="Normal"/>
              <w:ind w:start="-180" w:end="0"/>
              <w:jc w:val="both"/>
              <w:rPr>
                <w:sz w:val="20"/>
                <w:szCs w:val="20"/>
              </w:rPr>
            </w:pPr>
            <w:r>
              <w:rPr>
                <w:sz w:val="20"/>
                <w:szCs w:val="20"/>
              </w:rPr>
              <w:t>From:</w:t>
            </w:r>
          </w:p>
        </w:tc>
        <w:tc>
          <w:tcPr>
            <w:tcW w:w="6045" w:type="dxa"/>
            <w:tcBorders/>
          </w:tcPr>
          <w:p>
            <w:pPr>
              <w:pStyle w:val="From"/>
              <w:jc w:val="both"/>
              <w:rPr/>
            </w:pPr>
            <w:r>
              <w:rPr/>
              <w:t>Christi Nicolay</w:t>
            </w:r>
          </w:p>
        </w:tc>
        <w:tc>
          <w:tcPr>
            <w:tcW w:w="990" w:type="dxa"/>
            <w:tcBorders/>
          </w:tcPr>
          <w:p>
            <w:pPr>
              <w:pStyle w:val="Normal"/>
              <w:ind w:start="-180" w:end="0"/>
              <w:jc w:val="both"/>
              <w:rPr>
                <w:sz w:val="20"/>
                <w:szCs w:val="20"/>
              </w:rPr>
            </w:pPr>
            <w:r>
              <w:rPr>
                <w:sz w:val="20"/>
                <w:szCs w:val="20"/>
              </w:rPr>
              <w:t>Dept:</w:t>
            </w:r>
          </w:p>
        </w:tc>
        <w:tc>
          <w:tcPr>
            <w:tcW w:w="2965" w:type="dxa"/>
            <w:tcBorders/>
          </w:tcPr>
          <w:p>
            <w:pPr>
              <w:pStyle w:val="Department"/>
              <w:jc w:val="both"/>
              <w:rPr/>
            </w:pPr>
            <w:bookmarkStart w:id="0" w:name="From"/>
            <w:bookmarkEnd w:id="0"/>
            <w:r>
              <w:rPr/>
              <w:t>Fed. Reg. Affairs</w:t>
            </w:r>
          </w:p>
        </w:tc>
      </w:tr>
      <w:tr>
        <w:trPr>
          <w:trHeight w:val="216" w:hRule="exact"/>
        </w:trPr>
        <w:tc>
          <w:tcPr>
            <w:tcW w:w="708" w:type="dxa"/>
            <w:tcBorders/>
          </w:tcPr>
          <w:p>
            <w:pPr>
              <w:pStyle w:val="Normal"/>
              <w:snapToGrid w:val="false"/>
              <w:ind w:start="-180" w:end="0"/>
              <w:jc w:val="both"/>
              <w:rPr>
                <w:sz w:val="20"/>
                <w:szCs w:val="20"/>
              </w:rPr>
            </w:pPr>
            <w:r>
              <w:rPr>
                <w:sz w:val="20"/>
                <w:szCs w:val="20"/>
              </w:rPr>
            </w:r>
          </w:p>
        </w:tc>
        <w:tc>
          <w:tcPr>
            <w:tcW w:w="6045" w:type="dxa"/>
            <w:tcBorders/>
          </w:tcPr>
          <w:p>
            <w:pPr>
              <w:pStyle w:val="Normal"/>
              <w:snapToGrid w:val="false"/>
              <w:jc w:val="both"/>
              <w:rPr>
                <w:sz w:val="20"/>
                <w:szCs w:val="20"/>
              </w:rPr>
            </w:pPr>
            <w:r>
              <w:rPr>
                <w:sz w:val="20"/>
                <w:szCs w:val="20"/>
              </w:rPr>
            </w:r>
          </w:p>
        </w:tc>
        <w:tc>
          <w:tcPr>
            <w:tcW w:w="990" w:type="dxa"/>
            <w:tcBorders/>
          </w:tcPr>
          <w:p>
            <w:pPr>
              <w:pStyle w:val="Normal"/>
              <w:snapToGrid w:val="false"/>
              <w:ind w:start="-180" w:end="0"/>
              <w:jc w:val="both"/>
              <w:rPr>
                <w:sz w:val="20"/>
                <w:szCs w:val="20"/>
              </w:rPr>
            </w:pPr>
            <w:r>
              <w:rPr>
                <w:sz w:val="20"/>
                <w:szCs w:val="20"/>
              </w:rPr>
            </w:r>
          </w:p>
        </w:tc>
        <w:tc>
          <w:tcPr>
            <w:tcW w:w="2965" w:type="dxa"/>
            <w:tcBorders/>
          </w:tcPr>
          <w:p>
            <w:pPr>
              <w:pStyle w:val="Normal"/>
              <w:snapToGrid w:val="false"/>
              <w:jc w:val="both"/>
              <w:rPr>
                <w:sz w:val="20"/>
                <w:szCs w:val="20"/>
              </w:rPr>
            </w:pPr>
            <w:r>
              <w:rPr>
                <w:sz w:val="20"/>
                <w:szCs w:val="20"/>
              </w:rPr>
            </w:r>
          </w:p>
        </w:tc>
      </w:tr>
      <w:tr>
        <w:trPr>
          <w:trHeight w:val="600" w:hRule="exact"/>
        </w:trPr>
        <w:tc>
          <w:tcPr>
            <w:tcW w:w="708" w:type="dxa"/>
            <w:tcBorders>
              <w:bottom w:val="single" w:sz="12" w:space="0" w:color="000000"/>
            </w:tcBorders>
          </w:tcPr>
          <w:p>
            <w:pPr>
              <w:pStyle w:val="Normal"/>
              <w:ind w:start="-180" w:end="0"/>
              <w:jc w:val="both"/>
              <w:rPr>
                <w:sz w:val="20"/>
                <w:szCs w:val="20"/>
              </w:rPr>
            </w:pPr>
            <w:r>
              <w:rPr>
                <w:sz w:val="20"/>
                <w:szCs w:val="20"/>
              </w:rPr>
              <w:t>Subject:</w:t>
            </w:r>
          </w:p>
        </w:tc>
        <w:tc>
          <w:tcPr>
            <w:tcW w:w="6045" w:type="dxa"/>
            <w:tcBorders>
              <w:bottom w:val="single" w:sz="12" w:space="0" w:color="000000"/>
            </w:tcBorders>
          </w:tcPr>
          <w:p>
            <w:pPr>
              <w:pStyle w:val="Subject"/>
              <w:jc w:val="both"/>
              <w:rPr/>
            </w:pPr>
            <w:r>
              <w:rPr/>
              <w:t>Recent FERC Orders Waiving Price Caps in Secondary</w:t>
            </w:r>
          </w:p>
          <w:p>
            <w:pPr>
              <w:pStyle w:val="Subject"/>
              <w:jc w:val="both"/>
              <w:rPr/>
            </w:pPr>
            <w:r>
              <w:rPr/>
              <w:t>Market for Transmission/Transportation</w:t>
            </w:r>
          </w:p>
        </w:tc>
        <w:tc>
          <w:tcPr>
            <w:tcW w:w="990" w:type="dxa"/>
            <w:tcBorders>
              <w:bottom w:val="single" w:sz="12" w:space="0" w:color="000000"/>
            </w:tcBorders>
          </w:tcPr>
          <w:p>
            <w:pPr>
              <w:pStyle w:val="Normal"/>
              <w:ind w:start="-180" w:end="0"/>
              <w:jc w:val="both"/>
              <w:rPr>
                <w:sz w:val="20"/>
                <w:szCs w:val="20"/>
              </w:rPr>
            </w:pPr>
            <w:r>
              <w:rPr>
                <w:sz w:val="20"/>
                <w:szCs w:val="20"/>
              </w:rPr>
              <w:t>Date:</w:t>
            </w:r>
          </w:p>
        </w:tc>
        <w:tc>
          <w:tcPr>
            <w:tcW w:w="2965" w:type="dxa"/>
            <w:tcBorders>
              <w:bottom w:val="single" w:sz="12" w:space="0" w:color="000000"/>
            </w:tcBorders>
          </w:tcPr>
          <w:p>
            <w:pPr>
              <w:pStyle w:val="Date"/>
              <w:jc w:val="both"/>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pPr>
      <w:r>
        <w:rPr/>
      </w:r>
      <w:bookmarkStart w:id="1" w:name="StartOfMemo"/>
      <w:bookmarkStart w:id="2" w:name="StartOfMemo"/>
      <w:bookmarkEnd w:id="2"/>
    </w:p>
    <w:p>
      <w:pPr>
        <w:pStyle w:val="Body"/>
        <w:jc w:val="both"/>
        <w:rPr/>
      </w:pPr>
      <w:r>
        <w:rPr/>
        <w:tab/>
        <w:t>The Federal Energy Regulatory Commission (“FERC”) recently issued several orders that address the price ceilings on gas transportation and electric transmission in the secondary market.  Currently, the secondary market price for electric transmission is restricted to the following in the Pro Forma Open Access Transmission Tariff (“OATT”):</w:t>
      </w:r>
    </w:p>
    <w:p>
      <w:pPr>
        <w:pStyle w:val="Body"/>
        <w:jc w:val="both"/>
        <w:rPr/>
      </w:pPr>
      <w:r>
        <w:rPr/>
      </w:r>
    </w:p>
    <w:p>
      <w:pPr>
        <w:pStyle w:val="Department"/>
        <w:ind w:start="720" w:end="0"/>
        <w:jc w:val="both"/>
        <w:rPr/>
      </w:pPr>
      <w:r>
        <w:rPr>
          <w:b/>
          <w:bCs/>
        </w:rPr>
        <w:t xml:space="preserve">23.1: Procedures for Assignment or Transfer of Service:  </w:t>
      </w:r>
      <w:r>
        <w:rPr/>
        <w:t xml:space="preserve">Subject to Commission approval of any necessary filings, a Transmission Customer may sell, assign, or transfer all or a portion of its rights under its Service Agreement, but only to another Eligible Customer (the Assignee).  The Transmission Customer that sells, assigns or transfers its rights under its Service Agreement is hereafter referred to as the Reseller.  Compensation to the Reseller shall not exceed the higher of (i) the original rate paid by the Reseller, (ii) the Transmission Provider's maximum rate on file at the time of the assignment, </w:t>
      </w:r>
      <w:r>
        <w:rPr>
          <w:b/>
          <w:bCs/>
        </w:rPr>
        <w:t>or (iii) the Reseller's opportunity cost capped at the Transmission Provider's cost of expansion.</w:t>
      </w:r>
      <w:r>
        <w:rPr/>
        <w:t xml:space="preserve">  If the Assignee does not request any change in the Point(s) of Receipt or the Point(s) of Delivery, or a change in any other term or condition set forth in the original Service Agreement, the Assignee will receive the same services as did the Reseller and the priority of service for the Assignee will be the same as that of the Reseller.  A Reseller should notify the Transmission Provider as soon as possible after any assignment or transfer of service occurs but in any event, notification must be provided prior to any provision of service to the Assignee.  The Assignee will be subject to all terms and conditions of this Tariff.  If the Assignee requests a change in service, the reservation priority of service will be determined by the Transmission Provider pursuant to Section 13.2.  </w:t>
      </w:r>
    </w:p>
    <w:p>
      <w:pPr>
        <w:pStyle w:val="Department"/>
        <w:ind w:hanging="720" w:start="720" w:end="0"/>
        <w:jc w:val="both"/>
        <w:rPr/>
      </w:pPr>
      <w:r>
        <w:rPr/>
      </w:r>
    </w:p>
    <w:p>
      <w:pPr>
        <w:pStyle w:val="Department"/>
        <w:ind w:firstLine="720" w:end="0"/>
        <w:jc w:val="both"/>
        <w:rPr/>
      </w:pPr>
      <w:r>
        <w:rPr/>
        <w:t>Currently, Transmission Customers, such as EPMI, can only resell at (i) or (ii).  Other than in the California ISO (FTRs) and NEPOOL, I am not aware that FERC has approved any resales at (iii).  When EPMI approached FERC staff about this issue last year, we were told to modify a rather elaborate equation based on the spreads between two points at the time of the transmission capacity sale.  EPMI wanted the ability to resell transmission based on an open market concept that factored in each party’s view about the value of the transmission in the future when it would be used.  We did not pursue the filing at FERC.</w:t>
      </w:r>
    </w:p>
    <w:p>
      <w:pPr>
        <w:pStyle w:val="Department"/>
        <w:jc w:val="both"/>
        <w:rPr/>
      </w:pPr>
      <w:r>
        <w:rPr/>
      </w:r>
    </w:p>
    <w:p>
      <w:pPr>
        <w:pStyle w:val="Department"/>
        <w:jc w:val="both"/>
        <w:rPr/>
      </w:pPr>
      <w:r>
        <w:rPr/>
        <w:tab/>
        <w:t>On February 9, 2000, FERC issued a final rule governing gas transportation.  Order No. 637 waives the price ceiling for short-term (less than 1 year) capacity release transactions until September 30, 2002, subject to review and possible extension of the program at that time.  A pipeline’s short term firm and interruptible service will continue to be capped at a maximum rate ceiling.  FERC reasoned that bundled sales in the secondary market already include the increased value of transportation when the demand for capacity is high.  By lifting the restriction, FERC stated that a purchasing shipper has more options during peak periods.  Firm customers cannot withhold capacity to raise the price because interruptible (non-firm) service is still available.  FERC is not requiring a showing of lack of market power by the individual customers.  (EPMI, and all other FERC approved power marketers, have made showings of a lack of market power in order to make sales of energy and capacity at market based rates.  I don’t think a separate finding was required of gas marketers.)</w:t>
      </w:r>
      <w:r>
        <w:br w:type="page"/>
      </w:r>
    </w:p>
    <w:p>
      <w:pPr>
        <w:pStyle w:val="Department"/>
        <w:jc w:val="both"/>
        <w:rPr/>
      </w:pPr>
      <w:r>
        <w:rPr/>
      </w:r>
    </w:p>
    <w:p>
      <w:pPr>
        <w:pStyle w:val="Department"/>
        <w:jc w:val="both"/>
        <w:rPr/>
      </w:pPr>
      <w:r>
        <w:rPr/>
        <w:tab/>
        <w:t>On Nov. 10, 1999, FERC issued an order in the California ISO that did not require a cap on the resale of Firm Transmission Rights (“FTRs”) in the secondary market.  The initial FTRs are sold at auction for a term of one year.  FERC reasoned that transmission customers would not pay more than the cost of expansion (FERC’s cap on opportunity costs).  FERC has already held that transmission rights of less than one year need not be capped at the cost of expansion because that is not an option in the short term</w:t>
      </w:r>
      <w:r>
        <w:rPr>
          <w:rStyle w:val="FootnoteCharacters"/>
          <w:rStyle w:val="FootnoteReference"/>
        </w:rPr>
        <w:footnoteReference w:id="2"/>
      </w:r>
      <w:r>
        <w:rPr/>
        <w:t>.  Therefore, an FTR buyer would also not pay more than its own estimate of its stream of congestion costs and no cap was needed.</w:t>
      </w:r>
    </w:p>
    <w:p>
      <w:pPr>
        <w:pStyle w:val="Department"/>
        <w:jc w:val="both"/>
        <w:rPr/>
      </w:pPr>
      <w:r>
        <w:rPr/>
      </w:r>
    </w:p>
    <w:p>
      <w:pPr>
        <w:pStyle w:val="Department"/>
        <w:jc w:val="both"/>
        <w:rPr/>
      </w:pPr>
      <w:r>
        <w:rPr/>
        <w:tab/>
        <w:t>I am sending you copies of the Cal. order and a summary of Order No. 637.</w:t>
      </w:r>
    </w:p>
    <w:p>
      <w:pPr>
        <w:pStyle w:val="Department"/>
        <w:jc w:val="both"/>
        <w:rPr/>
      </w:pPr>
      <w:r>
        <w:rPr/>
      </w:r>
    </w:p>
    <w:p>
      <w:pPr>
        <w:pStyle w:val="Department"/>
        <w:jc w:val="both"/>
        <w:rPr/>
      </w:pPr>
      <w:r>
        <w:rPr/>
        <w:t>cc:</w:t>
        <w:tab/>
        <w:t>Tom Dutta</w:t>
      </w:r>
    </w:p>
    <w:p>
      <w:pPr>
        <w:pStyle w:val="Department"/>
        <w:ind w:firstLine="720" w:end="0"/>
        <w:jc w:val="both"/>
        <w:rPr/>
      </w:pPr>
      <w:r>
        <w:rPr/>
        <w:t>James Fallon</w:t>
      </w:r>
    </w:p>
    <w:p>
      <w:pPr>
        <w:pStyle w:val="Department"/>
        <w:jc w:val="both"/>
        <w:rPr/>
      </w:pPr>
      <w:r>
        <w:rPr/>
        <w:tab/>
        <w:t>Mary Hain</w:t>
      </w:r>
    </w:p>
    <w:p>
      <w:pPr>
        <w:pStyle w:val="Department"/>
        <w:jc w:val="both"/>
        <w:rPr/>
      </w:pPr>
      <w:r>
        <w:rPr/>
        <w:tab/>
        <w:t>Patrick Hanse</w:t>
      </w:r>
    </w:p>
    <w:p>
      <w:pPr>
        <w:pStyle w:val="Department"/>
        <w:jc w:val="both"/>
        <w:rPr/>
      </w:pPr>
      <w:r>
        <w:rPr/>
        <w:tab/>
        <w:t>Joe Hartsoe</w:t>
      </w:r>
    </w:p>
    <w:p>
      <w:pPr>
        <w:pStyle w:val="Department"/>
        <w:ind w:firstLine="720" w:end="0"/>
        <w:jc w:val="both"/>
        <w:rPr/>
      </w:pPr>
      <w:r>
        <w:rPr/>
        <w:t>Vince Kaminski</w:t>
      </w:r>
    </w:p>
    <w:p>
      <w:pPr>
        <w:pStyle w:val="Department"/>
        <w:ind w:firstLine="720" w:end="0"/>
        <w:jc w:val="both"/>
        <w:rPr/>
      </w:pPr>
      <w:r>
        <w:rPr/>
        <w:t>Martin Lin</w:t>
      </w:r>
    </w:p>
    <w:p>
      <w:pPr>
        <w:pStyle w:val="Department"/>
        <w:ind w:firstLine="720" w:end="0"/>
        <w:jc w:val="both"/>
        <w:rPr/>
      </w:pPr>
      <w:r>
        <w:rPr/>
        <w:t>Grant Masson</w:t>
      </w:r>
    </w:p>
    <w:p>
      <w:pPr>
        <w:pStyle w:val="Department"/>
        <w:ind w:firstLine="720" w:end="0"/>
        <w:jc w:val="both"/>
        <w:rPr/>
      </w:pPr>
      <w:r>
        <w:rPr/>
        <w:t>Sarah Novosel</w:t>
      </w:r>
    </w:p>
    <w:p>
      <w:pPr>
        <w:pStyle w:val="Department"/>
        <w:ind w:firstLine="720" w:end="0"/>
        <w:jc w:val="both"/>
        <w:rPr/>
      </w:pPr>
      <w:r>
        <w:rPr/>
        <w:t>Bill Rust</w:t>
      </w:r>
    </w:p>
    <w:p>
      <w:pPr>
        <w:pStyle w:val="Department"/>
        <w:ind w:firstLine="720" w:end="0"/>
        <w:jc w:val="both"/>
        <w:rPr/>
      </w:pPr>
      <w:r>
        <w:rPr/>
        <w:t>Richard Shapiro</w:t>
      </w:r>
    </w:p>
    <w:p>
      <w:pPr>
        <w:pStyle w:val="Department"/>
        <w:ind w:firstLine="720" w:end="0"/>
        <w:jc w:val="both"/>
        <w:rPr/>
      </w:pPr>
      <w:r>
        <w:rPr/>
        <w:t>Greg Woulfe</w:t>
      </w:r>
    </w:p>
    <w:p>
      <w:pPr>
        <w:pStyle w:val="Department"/>
        <w:ind w:firstLine="720" w:end="0"/>
        <w:jc w:val="both"/>
        <w:rPr/>
      </w:pPr>
      <w:r>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 xml:space="preserve">In 1994, FERC allowed FP&amp;L to set rates for its short term firm transmission at the higher of FP&amp;L’s embedded or opportunity costs (not capped at expansion), but retained the cap (set at customer’s cost) on the resale of such transmission.  </w:t>
      </w:r>
      <w:r>
        <w:rPr>
          <w:i/>
          <w:iCs/>
        </w:rPr>
        <w:t>Florida Power &amp; Light Company</w:t>
      </w:r>
      <w:r>
        <w:rPr/>
        <w:t>, 66 FERC para. 61,227 at 61,527 (1994).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2000-03-07T14:47:00Z</dcterms:created>
  <dc:creator>Jeff Ford</dc:creator>
  <dc:description/>
  <dc:language>en-CA</dc:language>
  <cp:lastModifiedBy>appinst</cp:lastModifiedBy>
  <cp:lastPrinted>2000-03-07T14:58:00Z</cp:lastPrinted>
  <dcterms:modified xsi:type="dcterms:W3CDTF">2000-03-07T18:30:00Z</dcterms:modified>
  <cp:revision>8</cp:revision>
  <dc:subject/>
  <dc:title>Eron Capital &amp; Trade Resources Memo</dc:title>
</cp:coreProperties>
</file>