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4"/>
          <w:u w:val="single"/>
        </w:rPr>
      </w:pPr>
      <w:r>
        <w:rPr/>
        <w:t xml:space="preserve">                                                                 </w:t>
      </w:r>
      <w:r>
        <w:rPr>
          <w:b/>
          <w:bCs/>
          <w:sz w:val="24"/>
          <w:u w:val="single"/>
        </w:rPr>
        <w:t>SeTrans Key Action Pla</w:t>
      </w:r>
      <w:r>
        <w:rPr>
          <w:b/>
          <w:bCs/>
          <w:u w:val="single"/>
        </w:rPr>
        <w:t>n</w:t>
      </w:r>
    </w:p>
    <w:p>
      <w:pPr>
        <w:pStyle w:val="Normal"/>
        <w:rPr>
          <w:b/>
          <w:bCs/>
          <w:sz w:val="24"/>
          <w:u w:val="single"/>
        </w:rPr>
      </w:pPr>
      <w:r>
        <w:rPr>
          <w:b/>
          <w:bCs/>
          <w:sz w:val="24"/>
          <w:u w:val="single"/>
        </w:rPr>
      </w:r>
    </w:p>
    <w:p>
      <w:pPr>
        <w:pStyle w:val="Normal"/>
        <w:rPr>
          <w:sz w:val="24"/>
        </w:rPr>
      </w:pPr>
      <w:r>
        <w:rPr>
          <w:sz w:val="24"/>
        </w:rPr>
      </w:r>
    </w:p>
    <w:p>
      <w:pPr>
        <w:pStyle w:val="Normal"/>
        <w:rPr>
          <w:b/>
          <w:bCs/>
          <w:sz w:val="24"/>
          <w:u w:val="single"/>
        </w:rPr>
      </w:pPr>
      <w:r>
        <w:rPr>
          <w:b/>
          <w:bCs/>
          <w:sz w:val="24"/>
          <w:u w:val="single"/>
        </w:rPr>
        <w:t>Background</w:t>
      </w:r>
    </w:p>
    <w:p>
      <w:pPr>
        <w:pStyle w:val="Normal"/>
        <w:rPr>
          <w:b/>
          <w:bCs/>
          <w:sz w:val="24"/>
          <w:u w:val="single"/>
        </w:rPr>
      </w:pPr>
      <w:r>
        <w:rPr>
          <w:b/>
          <w:bCs/>
          <w:sz w:val="24"/>
          <w:u w:val="single"/>
        </w:rPr>
      </w:r>
    </w:p>
    <w:p>
      <w:pPr>
        <w:pStyle w:val="Normal"/>
        <w:rPr>
          <w:sz w:val="24"/>
        </w:rPr>
      </w:pPr>
      <w:r>
        <w:rPr>
          <w:sz w:val="24"/>
        </w:rPr>
        <w:t xml:space="preserve">The SeTrans RTO is a proposal by Southern Company to create a RTO covering the Southern Subregion of SERC.  This would include the five operating companies owned by Southern, the members of the Georgia Integrated Transmission System (Georgia Transmission Corporation, Municipal Electric Authority of Georgia and The City of Dalton), Alabama Electric Cooperative and South Mississippi Electric Power. At this point, no other party has agreed to join Southern in SeTrans.  There was no collaborative process established by Southern in developing the SeTrans proposal, and none has been proposed.  Southern held two meetings prior to filing the SeTrans proposal to explain what they intended filing.  Southern has been willing to enter into bilateral discussions with the parties, and at least a couple of meetings were held, including one with Enron, which resulted in minor changes to their proposal.  But, given the late start by Southern, this approach did not provide the opportunity for serious consideration to be given to approaches other than those proposed by Southern.  </w:t>
      </w:r>
    </w:p>
    <w:p>
      <w:pPr>
        <w:pStyle w:val="Normal"/>
        <w:rPr>
          <w:sz w:val="24"/>
        </w:rPr>
      </w:pPr>
      <w:r>
        <w:rPr>
          <w:sz w:val="24"/>
        </w:rPr>
      </w:r>
    </w:p>
    <w:p>
      <w:pPr>
        <w:pStyle w:val="Normal"/>
        <w:rPr>
          <w:sz w:val="24"/>
        </w:rPr>
      </w:pPr>
      <w:r>
        <w:rPr>
          <w:sz w:val="24"/>
        </w:rPr>
      </w:r>
    </w:p>
    <w:p>
      <w:pPr>
        <w:pStyle w:val="Normal"/>
        <w:rPr/>
      </w:pPr>
      <w:r>
        <w:rPr>
          <w:b/>
          <w:bCs/>
          <w:sz w:val="24"/>
          <w:u w:val="single"/>
        </w:rPr>
        <w:t>Current Proposal</w:t>
      </w:r>
      <w:r>
        <w:rPr>
          <w:sz w:val="24"/>
        </w:rPr>
        <w:t xml:space="preserve"> </w:t>
      </w:r>
    </w:p>
    <w:p>
      <w:pPr>
        <w:pStyle w:val="Normal"/>
        <w:rPr>
          <w:sz w:val="24"/>
        </w:rPr>
      </w:pPr>
      <w:r>
        <w:rPr>
          <w:sz w:val="24"/>
        </w:rPr>
      </w:r>
    </w:p>
    <w:p>
      <w:pPr>
        <w:pStyle w:val="Normal"/>
        <w:rPr>
          <w:sz w:val="24"/>
        </w:rPr>
      </w:pPr>
      <w:r>
        <w:rPr>
          <w:sz w:val="24"/>
        </w:rPr>
        <w:t>The current SeTrans RTO proposal includes multiple options for the structure of the ownership and operation of the transmission systems, ranging from a for-profit ISO to having a managing partner with no market interest operate the RTO or Southern divesting itself from transmission ownership.  At this point, Southern has not identified any party capable of and willing to become a managing partner, and Southern has stated that they will not divest without assurance that their stockholders are not damaged.  The rest of this discussion assumes that the for-profit ISO proposal will be pursued.</w:t>
      </w:r>
    </w:p>
    <w:p>
      <w:pPr>
        <w:pStyle w:val="Normal"/>
        <w:rPr>
          <w:sz w:val="24"/>
        </w:rPr>
      </w:pPr>
      <w:r>
        <w:rPr>
          <w:sz w:val="24"/>
        </w:rPr>
      </w:r>
    </w:p>
    <w:p>
      <w:pPr>
        <w:pStyle w:val="Normal"/>
        <w:rPr>
          <w:sz w:val="24"/>
        </w:rPr>
      </w:pPr>
      <w:r>
        <w:rPr>
          <w:sz w:val="24"/>
        </w:rPr>
        <w:t xml:space="preserve">Southern has proposed that the RTO be set up as a limited liability company.  A national search firm would select candidates and alternates for the Board.  Each transmission owner would have one strike vote to eliminate a candidate.  If a candidate is eliminated, the alternate is selected to the Board.  The Board is restricted in taking certain actions, including action that might dilute the value of the RTO’s assets such as combining with other RTOs or changing the incentive plans for the officers, without approval by the transmission owners.   Southern assumes it will take several months to appoint a Board, and therefore, the CEO will be hired by the transmission owners with an initial short-term contract (1-2 years). </w:t>
      </w:r>
    </w:p>
    <w:p>
      <w:pPr>
        <w:pStyle w:val="Normal"/>
        <w:rPr>
          <w:sz w:val="24"/>
        </w:rPr>
      </w:pPr>
      <w:r>
        <w:rPr>
          <w:sz w:val="24"/>
        </w:rPr>
      </w:r>
    </w:p>
    <w:p>
      <w:pPr>
        <w:pStyle w:val="BodyText"/>
        <w:rPr/>
      </w:pPr>
      <w:r>
        <w:rPr/>
        <w:t xml:space="preserve">Concerning the High Level Attributes for EAST Power RTOs, Southern’s proposal has many problems.  In some cases the proposal provides a good starting point for reaching our objectives and in others it does not.  The only areas where the Southern proposal is totally consistent with Enron’s approach is in the RTO being a single control area and </w:t>
      </w:r>
    </w:p>
    <w:p>
      <w:pPr>
        <w:pStyle w:val="BodyText"/>
        <w:rPr/>
      </w:pPr>
      <w:r>
        <w:rPr/>
      </w:r>
    </w:p>
    <w:p>
      <w:pPr>
        <w:pStyle w:val="BodyText"/>
        <w:rPr/>
      </w:pPr>
      <w:r>
        <w:rPr/>
      </w:r>
    </w:p>
    <w:p>
      <w:pPr>
        <w:pStyle w:val="BodyText"/>
        <w:rPr/>
      </w:pPr>
      <w:r>
        <w:rPr/>
      </w:r>
    </w:p>
    <w:p>
      <w:pPr>
        <w:pStyle w:val="BodyText"/>
        <w:rPr/>
      </w:pPr>
      <w:r>
        <w:rPr/>
      </w:r>
    </w:p>
    <w:p>
      <w:pPr>
        <w:pStyle w:val="BodyText"/>
        <w:rPr/>
      </w:pPr>
      <w:r>
        <w:rPr/>
        <w:t xml:space="preserve">providing for self-supplying ancillary services, with the RTO being the provider of last resort.  Southern has recognized the importance of providing tradable, firm transmission rights on commercially significant flowgates, but mixes that with reservations being made on a contract path basis and requires balanced schedules.   Southern also proposes that all parties schedule transmission service on the same basis with the RTO, including service for native load. But, native load does not pay for service under the RTO OATT.  Southern also provides for a bid market to supply ancillary services and to provide pricing for realtime settlements of imbalances on a zonal basis, but the bid market is voluntary. </w:t>
      </w:r>
    </w:p>
    <w:p>
      <w:pPr>
        <w:pStyle w:val="BodyText"/>
        <w:rPr/>
      </w:pPr>
      <w:r>
        <w:rPr/>
      </w:r>
    </w:p>
    <w:p>
      <w:pPr>
        <w:pStyle w:val="BodyText"/>
        <w:rPr/>
      </w:pPr>
      <w:r>
        <w:rPr/>
        <w:t>The major hurdles that must be overcome in the SeTrans proposal are the native load preference, the lack of an auction for transmission rights and the requirement for balanced schedules.  If these issues can be settled consistent with RTO attributes Enron desires, the remaining differences should fall into place.</w:t>
      </w:r>
    </w:p>
    <w:p>
      <w:pPr>
        <w:pStyle w:val="BodyText"/>
        <w:rPr/>
      </w:pPr>
      <w:r>
        <w:rPr/>
      </w:r>
    </w:p>
    <w:p>
      <w:pPr>
        <w:pStyle w:val="BodyText"/>
        <w:rPr/>
      </w:pPr>
      <w:r>
        <w:rPr/>
      </w:r>
    </w:p>
    <w:p>
      <w:pPr>
        <w:pStyle w:val="BodyText"/>
        <w:rPr>
          <w:b/>
          <w:bCs/>
          <w:u w:val="single"/>
        </w:rPr>
      </w:pPr>
      <w:r>
        <w:rPr>
          <w:b/>
          <w:bCs/>
          <w:u w:val="single"/>
        </w:rPr>
        <w:t>Enron’s Rebuttal to the SeTrans Filing</w:t>
      </w:r>
    </w:p>
    <w:p>
      <w:pPr>
        <w:pStyle w:val="BodyText"/>
        <w:rPr>
          <w:b/>
          <w:bCs/>
          <w:u w:val="single"/>
        </w:rPr>
      </w:pPr>
      <w:r>
        <w:rPr>
          <w:b/>
          <w:bCs/>
          <w:u w:val="single"/>
        </w:rPr>
      </w:r>
    </w:p>
    <w:p>
      <w:pPr>
        <w:pStyle w:val="BodyText"/>
        <w:rPr/>
      </w:pPr>
      <w:r>
        <w:rPr/>
        <w:t xml:space="preserve">Enron joined several parties in filing a rebuttal to the GridSouth and SeTrans filings requesting that FERC play an active role in establishing and monitoring a collaborative process for the development of these RTO and recommending that these RTO be combined.  Southern has rebutted our filing, basically stating that sufficient progress was being shown in the development of the SeTrans RTO and FERC should provide them the guidance they requested in the SeTrans filing.  We need to continue pressing the FERC to ensure that a collaborative process is put in place as soon as possible and that SeTrans be combined with GridSouth.  In the mean time, Enron needs to proceed in establishing its own collaboration with as many parties as possible to promote the RTO attributes we desire.  Because a collaboration process has been in place for the Florida RTO and considerable progress is being made with many of the same parties from the marketing community that are interested in the SeTrans and GridSouth RTOs, we are hopeful that we can piggyback on that collaborative process and we are working on that with Dan Staines.  </w:t>
      </w:r>
    </w:p>
    <w:p>
      <w:pPr>
        <w:pStyle w:val="BodyText"/>
        <w:rPr/>
      </w:pPr>
      <w:r>
        <w:rPr/>
      </w:r>
    </w:p>
    <w:p>
      <w:pPr>
        <w:pStyle w:val="BodyText"/>
        <w:rPr/>
      </w:pPr>
      <w:r>
        <w:rPr/>
      </w:r>
    </w:p>
    <w:p>
      <w:pPr>
        <w:pStyle w:val="BodyText"/>
        <w:rPr>
          <w:b/>
          <w:bCs/>
          <w:u w:val="single"/>
        </w:rPr>
      </w:pPr>
      <w:r>
        <w:rPr>
          <w:b/>
          <w:bCs/>
          <w:u w:val="single"/>
        </w:rPr>
        <w:t>Goals</w:t>
      </w:r>
    </w:p>
    <w:p>
      <w:pPr>
        <w:pStyle w:val="BodyText"/>
        <w:rPr>
          <w:b/>
          <w:bCs/>
          <w:u w:val="single"/>
        </w:rPr>
      </w:pPr>
      <w:r>
        <w:rPr>
          <w:b/>
          <w:bCs/>
          <w:u w:val="single"/>
        </w:rPr>
      </w:r>
    </w:p>
    <w:p>
      <w:pPr>
        <w:pStyle w:val="BodyText"/>
        <w:numPr>
          <w:ilvl w:val="0"/>
          <w:numId w:val="1"/>
        </w:numPr>
        <w:rPr/>
      </w:pPr>
      <w:r>
        <w:rPr/>
        <w:t>By mid January, firm up support for a collaborative process with the marketers interested in SeTrans.  Many of the marketers in the SeTrans region have not been actively involved in commenting on the RTO proposal.</w:t>
      </w:r>
    </w:p>
    <w:p>
      <w:pPr>
        <w:pStyle w:val="BodyText"/>
        <w:ind w:start="360" w:end="0"/>
        <w:rPr/>
      </w:pPr>
      <w:r>
        <w:rPr/>
      </w:r>
    </w:p>
    <w:p>
      <w:pPr>
        <w:pStyle w:val="BodyText"/>
        <w:numPr>
          <w:ilvl w:val="0"/>
          <w:numId w:val="1"/>
        </w:numPr>
        <w:rPr/>
      </w:pPr>
      <w:r>
        <w:rPr/>
        <w:t>By the end of January, establish a firm group of allies that support the RTO attributes Enron is proposing.</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numPr>
          <w:ilvl w:val="0"/>
          <w:numId w:val="1"/>
        </w:numPr>
        <w:rPr/>
      </w:pPr>
      <w:r>
        <w:rPr/>
        <w:t>By the end of February, have a complete proposal on governance issues to put before Southern and the FERC.</w:t>
      </w:r>
    </w:p>
    <w:p>
      <w:pPr>
        <w:pStyle w:val="BodyText"/>
        <w:rPr/>
      </w:pPr>
      <w:r>
        <w:rPr/>
      </w:r>
    </w:p>
    <w:p>
      <w:pPr>
        <w:pStyle w:val="BodyText"/>
        <w:numPr>
          <w:ilvl w:val="0"/>
          <w:numId w:val="1"/>
        </w:numPr>
        <w:rPr/>
      </w:pPr>
      <w:r>
        <w:rPr/>
        <w:t>By the end of April, ensure that an independent SeTrans Board is being selected.</w:t>
      </w:r>
    </w:p>
    <w:p>
      <w:pPr>
        <w:pStyle w:val="BodyText"/>
        <w:rPr/>
      </w:pPr>
      <w:r>
        <w:rPr/>
      </w:r>
    </w:p>
    <w:p>
      <w:pPr>
        <w:pStyle w:val="BodyText"/>
        <w:numPr>
          <w:ilvl w:val="0"/>
          <w:numId w:val="1"/>
        </w:numPr>
        <w:rPr/>
      </w:pPr>
      <w:r>
        <w:rPr/>
        <w:t>By the end of May, have a complete proposal on market structure issues to put before the SeTrans Board.</w:t>
      </w:r>
    </w:p>
    <w:p>
      <w:pPr>
        <w:pStyle w:val="BodyText"/>
        <w:rPr/>
      </w:pPr>
      <w:r>
        <w:rPr/>
      </w:r>
    </w:p>
    <w:p>
      <w:pPr>
        <w:pStyle w:val="BodyText"/>
        <w:numPr>
          <w:ilvl w:val="0"/>
          <w:numId w:val="1"/>
        </w:numPr>
        <w:rPr/>
      </w:pPr>
      <w:r>
        <w:rPr/>
        <w:t>By the end of 2001 have the RTO functional.</w:t>
      </w:r>
    </w:p>
    <w:p>
      <w:pPr>
        <w:pStyle w:val="BodyText"/>
        <w:rPr/>
      </w:pPr>
      <w:r>
        <w:rPr/>
      </w:r>
    </w:p>
    <w:p>
      <w:pPr>
        <w:pStyle w:val="BodyText"/>
        <w:ind w:start="360" w:end="0"/>
        <w:rPr/>
      </w:pPr>
      <w:r>
        <w:rPr/>
      </w:r>
    </w:p>
    <w:p>
      <w:pPr>
        <w:pStyle w:val="BodyText"/>
        <w:rPr/>
      </w:pPr>
      <w:r>
        <w:rPr/>
      </w:r>
    </w:p>
    <w:p>
      <w:pPr>
        <w:pStyle w:val="BodyText"/>
        <w:rPr>
          <w:b/>
          <w:bCs/>
          <w:u w:val="single"/>
        </w:rPr>
      </w:pPr>
      <w:r>
        <w:rPr>
          <w:b/>
          <w:bCs/>
          <w:u w:val="single"/>
        </w:rPr>
        <w:t>Action Plan</w:t>
      </w:r>
    </w:p>
    <w:p>
      <w:pPr>
        <w:pStyle w:val="BodyText"/>
        <w:rPr>
          <w:b/>
          <w:bCs/>
          <w:u w:val="single"/>
        </w:rPr>
      </w:pPr>
      <w:r>
        <w:rPr>
          <w:b/>
          <w:bCs/>
          <w:u w:val="single"/>
        </w:rPr>
      </w:r>
    </w:p>
    <w:p>
      <w:pPr>
        <w:pStyle w:val="BodyText"/>
        <w:numPr>
          <w:ilvl w:val="0"/>
          <w:numId w:val="2"/>
        </w:numPr>
        <w:rPr/>
      </w:pPr>
      <w:r>
        <w:rPr/>
        <w:t>Recruit marketers in the SeTrans region to attend collaborative meetings on market structure and governance issues starting mid January (based on success in Florida, try to move the collaborative process there to SeTrans).</w:t>
      </w:r>
    </w:p>
    <w:p>
      <w:pPr>
        <w:pStyle w:val="BodyText"/>
        <w:ind w:start="360" w:end="0"/>
        <w:rPr/>
      </w:pPr>
      <w:r>
        <w:rPr/>
      </w:r>
    </w:p>
    <w:p>
      <w:pPr>
        <w:pStyle w:val="BodyText"/>
        <w:numPr>
          <w:ilvl w:val="0"/>
          <w:numId w:val="2"/>
        </w:numPr>
        <w:rPr/>
      </w:pPr>
      <w:r>
        <w:rPr/>
        <w:t>Recruit industrial customers/groups, coops and munis to attend collaborative meetings on governance issues starting late January.</w:t>
      </w:r>
    </w:p>
    <w:p>
      <w:pPr>
        <w:pStyle w:val="BodyText"/>
        <w:rPr/>
      </w:pPr>
      <w:r>
        <w:rPr/>
      </w:r>
    </w:p>
    <w:p>
      <w:pPr>
        <w:pStyle w:val="BodyText"/>
        <w:numPr>
          <w:ilvl w:val="0"/>
          <w:numId w:val="2"/>
        </w:numPr>
        <w:rPr/>
      </w:pPr>
      <w:r>
        <w:rPr/>
        <w:t>Organize collaborative meetings: issue discussion documents, agendas and arrange meeting site, plans, etc.</w:t>
      </w:r>
    </w:p>
    <w:p>
      <w:pPr>
        <w:pStyle w:val="BodyText"/>
        <w:rPr/>
      </w:pPr>
      <w:r>
        <w:rPr/>
      </w:r>
    </w:p>
    <w:p>
      <w:pPr>
        <w:pStyle w:val="BodyText"/>
        <w:numPr>
          <w:ilvl w:val="0"/>
          <w:numId w:val="2"/>
        </w:numPr>
        <w:rPr/>
      </w:pPr>
      <w:r>
        <w:rPr/>
        <w:t xml:space="preserve">Invite Southern to Enron/Houston for a follow up discussion of market structure issues in late January or early February, after we know what support we can expect from the other marketers interested in SeTrans.    </w:t>
      </w:r>
    </w:p>
    <w:p>
      <w:pPr>
        <w:pStyle w:val="Normal"/>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2001-01-02T01:09:00Z</dcterms:created>
  <dc:creator>Alvin J. Connor</dc:creator>
  <dc:description/>
  <dc:language>en-CA</dc:language>
  <cp:lastModifiedBy>jconnor2</cp:lastModifiedBy>
  <dcterms:modified xsi:type="dcterms:W3CDTF">2001-01-03T03:25:00Z</dcterms:modified>
  <cp:revision>10</cp:revision>
  <dc:subject/>
  <dc:title>                                                      FERC Talking Points - Southeastern  RTO</dc:title>
</cp:coreProperties>
</file>