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header12.xml.rels" ContentType="application/vnd.openxmlformats-package.relationships+xml"/>
  <Override PartName="/word/_rels/header5.xml.rels" ContentType="application/vnd.openxmlformats-package.relationships+xml"/>
  <Override PartName="/word/_rels/header11.xml.rels" ContentType="application/vnd.openxmlformats-package.relationships+xml"/>
  <Override PartName="/word/_rels/document.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media/image1.wmf" ContentType="image/x-wmf"/>
  <Override PartName="/word/header11.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b/>
          <w:sz w:val="28"/>
        </w:rPr>
      </w:pPr>
      <w:r>
        <w:rPr>
          <w:sz w:val="24"/>
        </w:rPr>
        <w:tab/>
      </w:r>
      <w:r>
        <w:rPr>
          <w:b/>
          <w:sz w:val="28"/>
        </w:rPr>
        <w:t>UNITED STATES OF AMERICA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b/>
          <w:sz w:val="28"/>
        </w:rPr>
      </w:pPr>
      <w:r>
        <w:rPr>
          <w:b/>
          <w:sz w:val="28"/>
        </w:rPr>
        <w:tab/>
        <w:t>BEFORE THE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8"/>
        </w:rPr>
      </w:pPr>
      <w:r>
        <w:rPr>
          <w:b/>
          <w:sz w:val="28"/>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28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288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2880"/>
        <w:jc w:val="both"/>
        <w:rPr>
          <w:sz w:val="24"/>
        </w:rPr>
      </w:pPr>
      <w:r>
        <w:rPr>
          <w:sz w:val="24"/>
        </w:rPr>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5760" w:start="5760"/>
        <w:jc w:val="both"/>
        <w:rPr>
          <w:sz w:val="24"/>
        </w:rPr>
      </w:pPr>
      <w:r>
        <w:rPr>
          <w:sz w:val="24"/>
        </w:rPr>
        <w:t>Southern Company Services, Inc.</w:t>
        <w:tab/>
        <w:tab/>
        <w:t>)</w:t>
        <w:tab/>
        <w:tab/>
        <w:t>Docket No. RT01-77-000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432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4320"/>
        <w:jc w:val="both"/>
        <w:rPr>
          <w:sz w:val="24"/>
        </w:rPr>
      </w:pPr>
      <w:r>
        <w:rPr>
          <w:sz w:val="24"/>
        </w:rPr>
        <w:t>Carolina Power &amp; Light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5760" w:start="5760"/>
        <w:jc w:val="both"/>
        <w:rPr>
          <w:sz w:val="24"/>
        </w:rPr>
      </w:pPr>
      <w:r>
        <w:rPr>
          <w:sz w:val="24"/>
        </w:rPr>
        <w:t>Duke Energy Corporation</w:t>
        <w:tab/>
        <w:tab/>
        <w:tab/>
        <w:t>)</w:t>
        <w:tab/>
        <w:tab/>
        <w:t>Docket No. RT01-74-000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5760" w:start="5760"/>
        <w:jc w:val="both"/>
        <w:rPr>
          <w:sz w:val="24"/>
        </w:rPr>
      </w:pPr>
      <w:r>
        <w:rPr>
          <w:sz w:val="24"/>
        </w:rPr>
        <w:t>South Carolina Electric &amp; Gas Company</w:t>
        <w:tab/>
        <w:t>)</w:t>
        <w:tab/>
        <w:tab/>
        <w:t>(not consolidated)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t>GridSouth Transco</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t>____________________________________)</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b/>
          <w:sz w:val="28"/>
        </w:rPr>
      </w:pPr>
      <w:r>
        <w:rPr>
          <w:b/>
          <w:sz w:val="28"/>
        </w:rPr>
        <w:t xml:space="preserve">PROTEST AND REQUEST FOR SETTLEMENT JUDGE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sz w:val="24"/>
        </w:rPr>
      </w:pPr>
      <w:r>
        <w:rPr>
          <w:b/>
          <w:sz w:val="28"/>
        </w:rPr>
        <w:t>OF ENRON POWER MARKETING, INC. AND CORAL POWER,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firstLine="720"/>
        <w:jc w:val="both"/>
        <w:rPr>
          <w:sz w:val="24"/>
        </w:rPr>
      </w:pPr>
      <w:r>
        <w:rPr>
          <w:sz w:val="24"/>
        </w:rPr>
        <w:t xml:space="preserve">Pursuant to 18 C.F.R. § 385.211, Enron Power Marketing, Inc. ("EPMI"), an intervenor in these proceedings, protests the October 16, 2000, Petition for Declaratory Order of Southern Company Services, Inc. ("Southern") </w:t>
      </w:r>
      <w:r>
        <w:rPr>
          <w:rStyle w:val="QuickFormat1"/>
          <w:sz w:val="24"/>
        </w:rPr>
        <w:t>in</w:t>
      </w:r>
      <w:r>
        <w:rPr>
          <w:sz w:val="24"/>
        </w:rPr>
        <w:t xml:space="preserve"> Docket No. RT01-77-000, in which it requests approval of    an RTO known as the SeTrans Grid Company, LLC ("SeTrans"), as well as the October 16, 2000, filing of Carolina Power &amp; Light Company, Duke Energy Corporation and South Carolina Electric &amp; Gas Company in the Docket No. RT01-74-000 of the GridSouth Transco ("GridSouth").    EPMI asks the Commission to convene a Settlement Judge process to consider the development of a singular Southeast Region RTO for the operation of the combined transmission assets subject to these filings.    Coral Power, LLC, which is this day filing separate interventions in these proceedings, joins in this protest and request for Settlement Judge.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sz w:val="24"/>
        </w:rPr>
      </w:pPr>
      <w:r>
        <w:rPr>
          <w:b/>
          <w:sz w:val="28"/>
        </w:rPr>
        <w:t>REQUEST FOR SETTLEMENT JUDGE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firstLine="720"/>
        <w:jc w:val="both"/>
        <w:rPr>
          <w:sz w:val="24"/>
        </w:rPr>
      </w:pPr>
      <w:r>
        <w:rPr>
          <w:sz w:val="24"/>
        </w:rPr>
        <w:t xml:space="preserve">SeTrans's and GridSouth's filings are devoid of the attributes of a true RTO that meets the criteria established under Order No. 2000, </w:t>
      </w:r>
      <w:r>
        <w:rPr>
          <w:i/>
          <w:sz w:val="24"/>
        </w:rPr>
        <w:t>Regional Transmission Organizations</w:t>
      </w:r>
      <w:r>
        <w:rPr>
          <w:sz w:val="24"/>
        </w:rPr>
        <w:t xml:space="preserve">, [1996-2000 Regs. </w:t>
      </w:r>
    </w:p>
    <w:p>
      <w:pPr>
        <w:sectPr>
          <w:headerReference w:type="even" r:id="rId2"/>
          <w:headerReference w:type="default" r:id="rId3"/>
          <w:headerReference w:type="first" r:id="rId4"/>
          <w:type w:val="nextPage"/>
          <w:pgSz w:w="12240" w:h="15840"/>
          <w:pgMar w:left="1440" w:right="1440" w:gutter="0" w:header="1152" w:top="1209" w:footer="0" w:bottom="720"/>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sz w:val="24"/>
        </w:rPr>
      </w:pPr>
      <w:r>
        <w:rPr>
          <w:sz w:val="24"/>
        </w:rPr>
        <w:t xml:space="preserve">Preambles] III F.E.R.C. Stats. &amp; Regs. ¶ 31,089 (1999) [hereinafter cited as </w:t>
      </w:r>
      <w:r>
        <w:rPr>
          <w:i/>
          <w:sz w:val="24"/>
        </w:rPr>
        <w:t>Order No.    2000</w:t>
      </w:r>
      <w:r>
        <w:rPr>
          <w:sz w:val="24"/>
        </w:rPr>
        <w:t xml:space="preserve">], </w:t>
      </w:r>
      <w:r>
        <w:rPr>
          <w:i/>
          <w:sz w:val="24"/>
        </w:rPr>
        <w:t>order on reh'g</w:t>
      </w:r>
      <w:r>
        <w:rPr>
          <w:sz w:val="24"/>
        </w:rPr>
        <w:t xml:space="preserve">, Order No. 2000-A, III F.E.R.C. Stats. &amp; Regs. ¶ 31,092 (2000), </w:t>
      </w:r>
      <w:r>
        <w:rPr>
          <w:i/>
          <w:sz w:val="24"/>
        </w:rPr>
        <w:t>appeal docketed sub nom. Public Utility District No. 1 of Snohomish County, Washington v. FERC</w:t>
      </w:r>
      <w:r>
        <w:rPr>
          <w:sz w:val="24"/>
        </w:rPr>
        <w:t xml:space="preserve">, Nos. 00-1174, </w:t>
      </w:r>
      <w:r>
        <w:rPr>
          <w:i/>
          <w:sz w:val="24"/>
        </w:rPr>
        <w:t>et al</w:t>
      </w:r>
      <w:r>
        <w:rPr>
          <w:sz w:val="24"/>
        </w:rPr>
        <w:t>., (D.C. Cir. April 24, 2000).    As a result, these filings are not capable of forming the basis from which an RTO for the Carolinas, Georgia and Alabama can possibly be developed.</w:t>
      </w:r>
      <w:r>
        <w:rPr>
          <w:rStyle w:val="FootnoteReference"/>
          <w:sz w:val="24"/>
          <w:vertAlign w:val="superscript"/>
        </w:rPr>
        <w:footnoteReference w:id="2"/>
      </w:r>
      <w:r>
        <w:rPr>
          <w:sz w:val="24"/>
        </w:rPr>
        <w:t>    We therefore urge the Commission to summarily reject both filings and convene immediately a proceeding,    presided over by a Settlement Judge charged with presenting to the Commission within six months a settlement that provides for a real RTO for the combined transmission assets of the GridSouth and SeTrans TOs, and possibly those of the Tennessee Valley Authority ("TVA") as well.</w:t>
      </w:r>
      <w:r>
        <w:rPr>
          <w:rStyle w:val="FootnoteReference"/>
          <w:sz w:val="24"/>
          <w:vertAlign w:val="superscript"/>
        </w:rPr>
        <w:footnoteReference w:id="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firstLine="720"/>
        <w:jc w:val="both"/>
        <w:rPr>
          <w:sz w:val="24"/>
        </w:rPr>
      </w:pPr>
      <w:r>
        <w:rPr>
          <w:sz w:val="24"/>
        </w:rPr>
        <w:t>As proposed, SeTrans will be comprised of transmission assets of just one company with one control area (Southern) located primarily in two states    — Alabama and Georgia (along with some additional facilities in portions of Florida and Mississippi).    GridSouth will be organized as a completely separate RTO comprised of the transmission assets of just three TOs immediately to the north in South and North Carolina.    There is no operational or market-based reason why all of the TOs in this integrated region should not be combined into one Southeast RTO.    To the contrary, the physical characteristics and trading patterns throughout the Southeast logically dictate that the transmission assets proposed to belong to GridSouth and SeTrans (and TVA, as well) should be combined in one RTO.</w:t>
      </w:r>
      <w:r>
        <w:rPr>
          <w:rStyle w:val="FootnoteReference"/>
          <w:sz w:val="24"/>
          <w:vertAlign w:val="superscript"/>
        </w:rPr>
        <w:footnoteReference w:id="4"/>
      </w:r>
      <w:r>
        <w:rPr>
          <w:sz w:val="24"/>
        </w:rPr>
        <w:t xml:space="preserve">    By Balkanizing the region along state boundaries, these two proposals (and the exclusion of TVA) divide recognized trading patterns.    In addition, the divided RTOs will not be able to control parallel path flows in the Southeast region or internalize loop flows in the region.    </w:t>
        <w:tab/>
        <w:t xml:space="preserve">Southern, in fact, seems to understand that, as proposed, SeTrans is only a "starting point" for an RTO and that there is a need to "work toward an even larger Southeastern RTO."    </w:t>
      </w:r>
      <w:r>
        <w:rPr>
          <w:i/>
          <w:sz w:val="24"/>
        </w:rPr>
        <w:t>SeTrans Trans. Ltr.</w:t>
      </w:r>
      <w:r>
        <w:rPr>
          <w:sz w:val="24"/>
        </w:rPr>
        <w:t xml:space="preserve"> at 33.    We agree with this sentiment but disagree that this endgame can be indefinitely put off.    We therefore request the Commission to direct SeTrans and GridSouth to convene discussions under the auspices of a Settlement Judge with all interested market participants in the Southeast Region, including TVA.    SeTrans and GridSouth, together with the interested parties, should be provided with specific milestones and a specific deadline for filing with the Commission a specific Southeastern RTO proposal that is fully compliant with Order No.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firstLine="720"/>
        <w:jc w:val="both"/>
        <w:rPr>
          <w:sz w:val="24"/>
        </w:rPr>
      </w:pPr>
      <w:r>
        <w:rPr>
          <w:sz w:val="24"/>
        </w:rPr>
        <w:t xml:space="preserve">In addition to being much too small to comprise legitimate RTOs, the GridSouth and SeTrans proposals are deficient in several other critical respects .    In the following discussion, EPMI offers principles that GridSouth and SeTrans should be directed to achieve in their ultimate proposal.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t>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t xml:space="preserve">PRINCIPLES &amp; GUIDELINES FOR DEVELOPING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t>A SOUTHEASTERN RTO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firstLine="720"/>
        <w:jc w:val="both"/>
        <w:rPr>
          <w:sz w:val="24"/>
        </w:rPr>
      </w:pPr>
      <w:r>
        <w:rPr>
          <w:sz w:val="24"/>
        </w:rPr>
        <w:t>The Commission undertook its Order No. 2000 RTO initiative in order to provide the industry with a twenty-first century roadmap for finishing the business that it began in the open-access orders, Orders No. 888</w:t>
      </w:r>
      <w:r>
        <w:rPr>
          <w:rStyle w:val="FootnoteReference"/>
          <w:sz w:val="24"/>
          <w:vertAlign w:val="superscript"/>
        </w:rPr>
        <w:footnoteReference w:id="5"/>
      </w:r>
      <w:r>
        <w:rPr>
          <w:sz w:val="24"/>
        </w:rPr>
        <w:t xml:space="preserve"> and No. 889</w:t>
      </w:r>
      <w:r>
        <w:rPr>
          <w:rStyle w:val="FootnoteReference"/>
          <w:sz w:val="24"/>
          <w:vertAlign w:val="superscript"/>
        </w:rPr>
        <w:footnoteReference w:id="6"/>
      </w:r>
      <w:r>
        <w:rPr>
          <w:sz w:val="24"/>
        </w:rPr>
        <w:t>.    That business is the orderly transition from closed power markets of regulated monopolies to a competitive national market that is open to entry and capable of supporting robust competition in wholesale, bulk power markets and, where permitted by state authorities, in retail markets as well.    Completing this transition must be a high priority.    Lingering the transition perpetuates, and projects into the competitive sectors, the continued market power of the incumbent regulated monopolies; that, in turn, produces unregulated monopolies and unrestrained market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sz w:val="24"/>
        </w:rPr>
      </w:pPr>
      <w:r>
        <w:rPr>
          <w:sz w:val="24"/>
        </w:rPr>
        <w:tab/>
        <w:t>Order No. 2000 rightly targeted two obstacles standing in the way of the transition.    First is the lack of market mechanisms in place that are essential to achieving both economic and engineering efficiencies.    To remove this barrier, transmission system operators need to offer new services that are required to support new entry and equal access to markets.    Also targeted is the incentive of transmission owners to resist new market mechanisms and instead use their control over the grid to favor their own and affiliated power sellers and, at the same time, deter new entrants.    Indeed, in all three Orders — No. 888, No. 889 and No. 2000 — the Commission emphasized (as have many others</w:t>
      </w:r>
      <w:r>
        <w:rPr>
          <w:rStyle w:val="FootnoteReference"/>
          <w:sz w:val="24"/>
          <w:vertAlign w:val="superscript"/>
        </w:rPr>
        <w:footnoteReference w:id="7"/>
      </w:r>
      <w:r>
        <w:rPr>
          <w:sz w:val="24"/>
        </w:rPr>
        <w:t xml:space="preserve">) that under the historical, vertically integrated utility model, incumbent transmission owners have an inherent </w:t>
      </w:r>
      <w:r>
        <w:rPr>
          <w:i/>
          <w:sz w:val="24"/>
        </w:rPr>
        <w:t xml:space="preserve">incentive and ability </w:t>
      </w:r>
      <w:r>
        <w:rPr>
          <w:sz w:val="24"/>
        </w:rPr>
        <w:t>to discriminate against new entry and new entrants into their monopoly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sz w:val="24"/>
        </w:rPr>
      </w:pPr>
      <w:r>
        <w:rPr>
          <w:sz w:val="24"/>
        </w:rPr>
        <w:tab/>
        <w:t xml:space="preserve">The RTO proposal before the Commission must be evaluated, and its compliance with Order No. 2000 must ultimately be judged by how well it would put in place market mechanisms that are essential to achieving both economic and engineering efficiencies and would rid the industry of both the incentive and ability of incumbents to discriminate and prevent new entry in the energy and capacity markets.    </w:t>
      </w:r>
    </w:p>
    <w:p>
      <w:pPr>
        <w:pStyle w:val="1AutoList1"/>
        <w:tabs>
          <w:tab w:val="clear" w:pos="8640"/>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ind w:hanging="1440" w:start="1440"/>
        <w:jc w:val="start"/>
        <w:rPr>
          <w:b/>
          <w:i/>
          <w:i/>
          <w:sz w:val="26"/>
        </w:rPr>
      </w:pPr>
      <w:r>
        <w:rPr>
          <w:b/>
          <w:i/>
          <w:sz w:val="26"/>
        </w:rPr>
      </w:r>
    </w:p>
    <w:p>
      <w:pPr>
        <w:sectPr>
          <w:headerReference w:type="even" r:id="rId5"/>
          <w:headerReference w:type="default" r:id="rId6"/>
          <w:headerReference w:type="first" r:id="rId7"/>
          <w:footnotePr>
            <w:numFmt w:val="decimal"/>
            <w:numRestart w:val="eachSect"/>
          </w:footnotePr>
          <w:type w:val="nextPage"/>
          <w:pgSz w:w="12240" w:h="15840"/>
          <w:pgMar w:left="1440" w:right="1440" w:gutter="0" w:header="1152" w:top="1209" w:footer="0" w:bottom="864"/>
          <w:pgNumType w:fmt="decimal"/>
          <w:formProt w:val="false"/>
          <w:titlePg/>
          <w:textDirection w:val="lrTb"/>
          <w:docGrid w:type="default" w:linePitch="100" w:charSpace="0"/>
        </w:sectPr>
      </w:pPr>
    </w:p>
    <w:p>
      <w:pPr>
        <w:pStyle w:val="1AutoList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ind w:hanging="720" w:start="1440"/>
        <w:jc w:val="start"/>
        <w:rPr>
          <w:b/>
          <w:i/>
          <w:i/>
        </w:rPr>
      </w:pPr>
      <w:r>
        <w:rPr>
          <w:b/>
          <w:i/>
        </w:rPr>
        <w:t xml:space="preserve">Market Mechanisms Essential to RTO Achieving Economic &amp; Engineering Efficiencies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b/>
          <w:i/>
          <w:sz w:val="24"/>
        </w:rPr>
        <w:tab/>
      </w:r>
      <w:r>
        <w:rPr>
          <w:sz w:val="24"/>
        </w:rPr>
        <w:t>With regard to essential market mechanisms, a Southeastern RTO proposal should be rejected and its proponents sent back to the drawing board if it fails to offer: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r>
      <w:r>
        <w:rPr>
          <w:b/>
          <w:i/>
          <w:sz w:val="24"/>
        </w:rPr>
        <w:t xml:space="preserve">1.            One Regional Transmission Tariff Offering Region-Wide Access — </w:t>
      </w:r>
      <w:r>
        <w:rPr>
          <w:sz w:val="24"/>
        </w:rPr>
        <w:t>Order No. 2000 makes clear that an RTO must have a single transmission tariff for the region and offer region-wide access for a single rate.    The Commission must ensure that uniform rates for all loads are implemented as quickly as possible.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b/>
          <w:i/>
          <w:sz w:val="24"/>
        </w:rPr>
        <w:tab/>
        <w:t>2.          Offer a Market Mechanism for Managing Transmission Grid Congestion</w:t>
      </w:r>
      <w:r>
        <w:rPr>
          <w:i/>
          <w:sz w:val="24"/>
        </w:rPr>
        <w:t xml:space="preserve">— </w:t>
      </w:r>
      <w:r>
        <w:rPr>
          <w:sz w:val="24"/>
        </w:rPr>
        <w:t xml:space="preserve">Essential here is that the market mechanism both provide an economic valuation of scarce transmission capacity </w:t>
      </w:r>
      <w:r>
        <w:rPr>
          <w:i/>
          <w:sz w:val="24"/>
        </w:rPr>
        <w:t>and</w:t>
      </w:r>
      <w:r>
        <w:rPr>
          <w:sz w:val="24"/>
        </w:rPr>
        <w:t xml:space="preserve"> a type of right to congested transmission capacity that can be freely traded, together with, or independent of, energy in forward markets for energy and capacity.    The first part of this equation requires that the market valuation of the right to use scarce transmission capacity occur sufficiently far in advance of real-time operations so that price signals can be sent over horizons that are sufficiently long (surely longer than one hour or one day) as to allow buyers and sellers to respond with decisions that are economically efficient.    As to the type of right that will best support a market, it is an option that must be exercised or it will be lost.    This prevents hoarding, which could be used to disadvantage competitors and which, in any event, deprives the market of liquidity.    </w:t>
        <w:tab/>
        <w:t>An option type of right contrasts with the type of right that does not have to be exercised, but which rather entitles its holder to a revenue stream whether the holder uses it or not.    This latter type of right should be avoided because it can reward and does not punish hoarding.    Finally, all of the market benefits of the congestion management system depend critically on the option (or other right) being made available pursuant to a market mechanism, such as a periodic auction, bilateral trading or both, and not pursuant to an administrative (non-economic) allocation.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r>
      <w:r>
        <w:rPr>
          <w:b/>
          <w:i/>
          <w:sz w:val="24"/>
        </w:rPr>
        <w:t xml:space="preserve">3.          Information Service — </w:t>
      </w:r>
      <w:r>
        <w:rPr>
          <w:sz w:val="24"/>
        </w:rPr>
        <w:t>A Southeastern RTO should offer to the market constantly updated information on hourly forecasted load and generation that has been offered to the RTO in an hour for balancing demand and supply in real-time operations.    This will serve to provide both supply and demand resources with hourly demand and supply curves.    Economically efficient behavior by market participants depends critically on access to this information, which can come only from the RTO.    Engineering efficiency also requires that this information be communicated continuously, up until real-time operations begin, back and forth between the operators of not-otherwise committed resources and the RTO so that the RTO can select those resources that best address an imbalance in real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 xml:space="preserve">In addition to forecast load and generation bids, the Southeastern RTO should also be responsible for providing other information that significantly impacts hourly demand and supply curves.    This should include information on scheduled and unscheduled outages and interchange inadvertence. 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b/>
          <w:i/>
          <w:i/>
          <w:sz w:val="24"/>
        </w:rPr>
      </w:pPr>
      <w:r>
        <w:rPr>
          <w:sz w:val="24"/>
        </w:rPr>
        <w:tab/>
        <w:t>It is critically important that the RTO provide to the public all of this information as soon as it is available.    Failure to do so risks creating short-term, but effective, market power by the limited universe of those in possession of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b/>
          <w:i/>
          <w:sz w:val="24"/>
        </w:rPr>
        <w:tab/>
        <w:t xml:space="preserve">4.        Energy Balancing Market </w:t>
      </w:r>
      <w:r>
        <w:rPr>
          <w:sz w:val="24"/>
        </w:rPr>
        <w:t xml:space="preserve">— Rather than adopting an inflexible and commercially hostile requirement that energy schedules be balanced, the Southeastern RTO should offer a real-time balancing service.    Pursuant to this service, the scheduler commits to pay the RTO's cost and the RTO commits to balancing schedules that are unbalanced.    Access to such a service, which only the operator can provide in real time, is critically important to the development of both supply and demand liquidity, which, in turn, is essential to economic efficiency. 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The charges for this flexibility should not be set (as they sometimes are) with the intention of punishing unbalanced schedulers.    Instead, the price should reflect the locational and temporal price of the energy that the RTO must take in connection with a positive imbalance or the locational and temporal price of the energy that the RTO must provide in the case of a negative imbalance.    These locational prices should be determined in a manner that is both accurate and efficient, without resort to comparing hundreds (or in the enlarged market of an RTO, possibly thousands) of nodal combinations.    Rather, the locational prices should be set on the basis of price zones, comprising multiple nodes of equal or near equal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i/>
          <w:i/>
          <w:sz w:val="24"/>
        </w:rPr>
      </w:pPr>
      <w:r>
        <w:rPr>
          <w:i/>
          <w:sz w:val="24"/>
        </w:rPr>
        <w:tab/>
        <w:tab/>
      </w:r>
    </w:p>
    <w:p>
      <w:pPr>
        <w:pStyle w:val="1AutoList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ind w:hanging="720" w:start="0"/>
        <w:jc w:val="start"/>
        <w:rPr/>
      </w:pPr>
      <w:r>
        <w:rPr>
          <w:b/>
          <w:i/>
          <w:sz w:val="26"/>
        </w:rPr>
        <w:tab/>
        <w:t>B.</w:t>
        <w:tab/>
        <w:t>Steps Essential to Eliminating the Incentive and Ability to Discriminate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With regard to the elimination of the incentive and ability of transmission monopolists to discriminate and otherwise prevent new entry, a Southeastern RTO proposal should: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sectPr>
          <w:footnotePr>
            <w:numFmt w:val="decimal"/>
            <w:numRestart w:val="eachSect"/>
          </w:footnotePr>
          <w:type w:val="continuous"/>
          <w:pgSz w:w="12240" w:h="15840"/>
          <w:pgMar w:left="1440" w:right="1440" w:gutter="0" w:header="1152" w:top="1209" w:footer="0" w:bottom="864"/>
          <w:formProt w:val="false"/>
          <w:titlePg/>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r>
      <w:r>
        <w:rPr>
          <w:b/>
          <w:i/>
          <w:sz w:val="24"/>
        </w:rPr>
        <w:t>1.          Place All Uses of the Regional Grid on the Same Regional Transmission Tariff, Subject to the Same Rules of the Road —</w:t>
      </w:r>
      <w:r>
        <w:rPr>
          <w:sz w:val="24"/>
        </w:rPr>
        <w:t xml:space="preserve"> All uses of the grid should be placed on the same foundation, subject to the same rules. In Order No. 888 the Commission imposed its open-access regime only on wholesale sales — a small fraction of the overall commerce that takes place on the interstate grid.    It allowed transmission uses that the transmission monopolist bundles with sales to captive customers (approximately 80 percent of all throughput) to remain in a black box within which it is impossible to detect or police discrimination against those who would compete with the transmission monopolist for power sales, either at wholesale or retail, where permitted.    While the Commission recognized the desirability of placing all uses on the same open-access foundation so that none would receive inferior or superior access, it failed to do so in Order No. 888 because of uncertainty as to its jurisdiction.    The court that reviewed Order No. 888 laid that jurisdictional concern to rest:    "In this age of interconnected transmission grids, and given the accompanying technological complexities, we would be hard pressed to conclude that FERC's interpretation . . . as giving it jurisdiction over both wholesale and retail transmissions is unreasonable or impermissible."    </w:t>
      </w:r>
      <w:r>
        <w:rPr>
          <w:i/>
          <w:sz w:val="24"/>
        </w:rPr>
        <w:t>See TAPS v. FERC</w:t>
      </w:r>
      <w:r>
        <w:rPr>
          <w:sz w:val="24"/>
        </w:rPr>
        <w:t>, 225 F.3d 667, 694 (D.C. Cir. 2000).    To fail once more to place all uses of the grid on the same nondiscriminatory foundation would be inexcusable in light of the court's decision.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 xml:space="preserve">Placing all uses of the regional grid on the same regional tariff extends to rights that must be held in order to obtain service from the RTO.      These rights    may take any of a number of forms, including rights to congested interfaces or, in systems that use locational marginal pricing ("LMP"), the fixed (or firm) transmission rights that are used to hedge against LMP's results.    These types of rights are tantamount to having access to regional transmission and must be available to all shippers on the same basis, pursuant to the same market mechanisms.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sectPr>
          <w:footnotePr>
            <w:numFmt w:val="decimal"/>
            <w:numRestart w:val="eachSect"/>
          </w:footnotePr>
          <w:type w:val="continuous"/>
          <w:pgSz w:w="12240" w:h="15840"/>
          <w:pgMar w:left="1440" w:right="1440" w:gutter="0" w:header="1152" w:top="1209" w:footer="0" w:bottom="864"/>
          <w:formProt w:val="false"/>
          <w:titlePg/>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r>
      <w:r>
        <w:br w:type="page"/>
      </w:r>
    </w:p>
    <w:p>
      <w:pPr>
        <w:pStyle w:val="Normal"/>
        <w:bidi w:val="0"/>
        <w:jc w:val="start"/>
        <w:rPr>
          <w:sz w:val="24"/>
        </w:rPr>
      </w:pPr>
      <w:r>
        <w:rPr>
          <w:sz w:val="24"/>
        </w:rPr>
        <w:tab/>
      </w:r>
      <w:r>
        <w:rPr>
          <w:b/>
          <w:i/>
          <w:sz w:val="24"/>
        </w:rPr>
        <w:t>2.          Require Subordinate RTO's to Relinquish to the RTO Their    Commercially Valuable Control over Scheduling and Settlements —</w:t>
      </w:r>
      <w:r>
        <w:rPr>
          <w:sz w:val="24"/>
        </w:rPr>
        <w:t xml:space="preserve"> Ideally, all control areas operating within the RTO's boundaries should be eliminated and their functions and responsibilities transferred to the RTO.    A single control area must be the end game.    EPMI recognizes that a transition may be necessary during which existing control areas cede some of their authority and responsibilities to the RTO, but otherwise continue to operate as RTO subordinates in an hierarchical structure.    It is anachronistic and unduly discriminatory for subordinate control areas to continue to exercise authorities that give them commercial advantages that they discriminatorily deny to their power supply competitors. 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The concept of a control area grew out of the North American Electric Reliability Council ("NERC") and its rules for balancing interchange power flows between control areas.    In order to achieve balance essential for reliability, control areas historically have performed certain functions and fulfilled certain responsibilities.    These included responsibility for area control error ("ACE"), receiving and executing scheduled transactions, and settling inadvertent (unbalanced) power flows between themselves and other control areas.    In a recent White Paper, a Task Force of NERC has recognized that a control area operator's retention of authority over scheduling and the settlement of inadvertence confers unintended commercial benefits on the control area operator vis-à-vis its power supply competitors.    Specifically, control areas exercise their control over scheduling to allow themselves to schedule power into the control area before knowing and identifying its ultimate destination — a practice referred to as hubbing — and their control over settlements to allow themselves to elect when to settle inadvertence and whether to do so in cash or in kind.</w:t>
      </w:r>
      <w:r>
        <w:rPr>
          <w:rStyle w:val="FootnoteReference"/>
          <w:sz w:val="24"/>
          <w:vertAlign w:val="superscript"/>
        </w:rPr>
        <w:footnoteReference w:id="8"/>
      </w:r>
      <w:r>
        <w:rPr>
          <w:sz w:val="24"/>
        </w:rPr>
        <w:t>    Both practices confer enormous commercial flexibility on the control area and its affiliates in the power supply area; flexibility that they deny to all of their non-vertically integrated competitors.</w:t>
      </w:r>
    </w:p>
    <w:p>
      <w:pPr>
        <w:sectPr>
          <w:headerReference w:type="even" r:id="rId8"/>
          <w:headerReference w:type="default" r:id="rId9"/>
          <w:headerReference w:type="first" r:id="rId10"/>
          <w:footnotePr>
            <w:numFmt w:val="decimal"/>
            <w:numRestart w:val="eachSect"/>
          </w:footnotePr>
          <w:type w:val="nextPage"/>
          <w:pgSz w:w="12240" w:h="15840"/>
          <w:pgMar w:left="1440" w:right="1440" w:gutter="0" w:header="1152" w:top="1209" w:footer="0" w:bottom="864"/>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jc w:val="both"/>
        <w:rPr>
          <w:sz w:val="24"/>
        </w:rPr>
      </w:pPr>
      <w:r>
        <w:rPr>
          <w:sz w:val="24"/>
        </w:rPr>
        <w:tab/>
        <w:t>At a minimum to eliminate these discriminatory advantages, RTO proponents that retain subordinate control areas should be required to have those subordinate control areas relinquish to the RTO all responsibility for transaction scheduling and settling inadvertence.    The RTO then should be required to offer the same scheduling flexibility in terms of hubbing and the same settlement flexibility to all shippers on the regional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b/>
          <w:sz w:val="28"/>
        </w:rPr>
      </w:pPr>
      <w:r>
        <w:rPr>
          <w:b/>
          <w:sz w:val="28"/>
        </w:rPr>
        <w:t>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sz w:val="24"/>
        </w:rPr>
      </w:pPr>
      <w:r>
        <w:rPr>
          <w:b/>
          <w:sz w:val="28"/>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sz w:val="24"/>
        </w:rPr>
      </w:pPr>
      <w:r>
        <w:rPr>
          <w:sz w:val="24"/>
        </w:rPr>
        <w:tab/>
        <w:t xml:space="preserve">For the foregoing reasons, EPMI requests the Commission to reject GridSouth's and SeTran's filings in the captioned proceedings and convene immediately a proceeding presided over by a    Settlement Judge.    That proceeding should include TVA, as well as all interested parties.    The Settlement Judge and the parties should be charged with developing a Southeastern RTO proposal by a date certain, which meets all of the market and nondiscrimination requirements of Order No. 2000.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8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8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________________________________</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Jeffrey D. Watkiss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Kimberly A. Curry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t>A Registered Limited Liability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Washington, DC      20006-1872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Counsel for 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r>
    </w:p>
    <w:p>
      <w:pPr>
        <w:sectPr>
          <w:headerReference w:type="even" r:id="rId11"/>
          <w:headerReference w:type="default" r:id="rId12"/>
          <w:headerReference w:type="first" r:id="rId13"/>
          <w:footnotePr>
            <w:numFmt w:val="decimal"/>
            <w:numRestart w:val="eachSect"/>
          </w:footnotePr>
          <w:type w:val="nextPage"/>
          <w:pgSz w:w="12240" w:h="15840"/>
          <w:pgMar w:left="1440" w:right="1440" w:gutter="0" w:header="1152" w:top="1209" w:footer="0" w:bottom="432"/>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November 20, 2000</w:t>
      </w:r>
      <w:r>
        <w:br w:type="page"/>
      </w:r>
    </w:p>
    <w:p>
      <w:pPr>
        <w:pStyle w:val="Normal"/>
        <w:bidi w:val="0"/>
        <w:jc w:val="start"/>
        <w:rPr>
          <w:sz w:val="24"/>
        </w:rPr>
      </w:pPr>
      <w:r>
        <w:rPr>
          <w:sz w:val="24"/>
        </w:rPr>
      </w:r>
    </w:p>
    <w:p>
      <w:pPr>
        <w:sectPr>
          <w:headerReference w:type="even" r:id="rId14"/>
          <w:headerReference w:type="default" r:id="rId15"/>
          <w:headerReference w:type="first" r:id="rId16"/>
          <w:footnotePr>
            <w:numFmt w:val="decimal"/>
            <w:numRestart w:val="eachSect"/>
          </w:footnotePr>
          <w:type w:val="nextPage"/>
          <w:pgSz w:w="12240" w:h="15840"/>
          <w:pgMar w:left="1440" w:right="1440" w:gutter="0" w:header="1152" w:top="1209" w:footer="0" w:bottom="450"/>
          <w:pgNumType w:fmt="decimal"/>
          <w:formProt w:val="false"/>
          <w:textDirection w:val="lrTb"/>
          <w:docGrid w:type="default" w:linePitch="312" w:charSpace="2047"/>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8"/>
        </w:rPr>
      </w:pPr>
      <w:r>
        <w:rPr>
          <w:sz w:val="24"/>
        </w:rPr>
        <w:tab/>
      </w:r>
      <w:r>
        <w:rPr>
          <w:b/>
          <w:sz w:val="28"/>
        </w:rPr>
        <w:t>UNITED STATES OF AMERICA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8"/>
        </w:rPr>
      </w:pPr>
      <w:r>
        <w:rPr>
          <w:b/>
          <w:sz w:val="28"/>
        </w:rPr>
        <w:tab/>
        <w:t>BEFORE THE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8"/>
        </w:rPr>
      </w:pPr>
      <w:r>
        <w:rPr>
          <w:b/>
          <w:sz w:val="28"/>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8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8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88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s>
        <w:bidi w:val="0"/>
        <w:ind w:hanging="5760" w:start="5760"/>
        <w:jc w:val="both"/>
        <w:rPr>
          <w:sz w:val="24"/>
        </w:rPr>
      </w:pPr>
      <w:r>
        <w:rPr>
          <w:sz w:val="24"/>
        </w:rPr>
        <w:t>Southern Company Services, Inc.                                    )</w:t>
        <w:tab/>
        <w:t>Docket No. RT01-77-000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r>
        <w:rPr>
          <w:sz w:val="24"/>
        </w:rPr>
        <w:t>Carolina Power &amp; Light Company</w:t>
        <w:tab/>
        <w:tab/>
        <w:t>)</w:t>
      </w:r>
    </w:p>
    <w:p>
      <w:pPr>
        <w:pStyle w:val="Normal"/>
        <w:tabs>
          <w:tab w:val="left" w:pos="0" w:leader="none"/>
          <w:tab w:val="left" w:pos="720" w:leader="none"/>
          <w:tab w:val="left" w:pos="1440" w:leader="none"/>
          <w:tab w:val="left" w:pos="2160" w:leader="none"/>
          <w:tab w:val="left" w:pos="2880" w:leader="none"/>
          <w:tab w:val="left" w:pos="3600" w:leader="none"/>
        </w:tabs>
        <w:bidi w:val="0"/>
        <w:ind w:hanging="5760" w:start="5760"/>
        <w:jc w:val="both"/>
        <w:rPr>
          <w:sz w:val="24"/>
        </w:rPr>
      </w:pPr>
      <w:r>
        <w:rPr>
          <w:sz w:val="24"/>
        </w:rPr>
        <w:t>Duke Energy Corporation                                                          )                                              Docket No. RT01-74-000</w:t>
      </w:r>
    </w:p>
    <w:p>
      <w:pPr>
        <w:pStyle w:val="Normal"/>
        <w:tabs>
          <w:tab w:val="left" w:pos="0" w:leader="none"/>
          <w:tab w:val="left" w:pos="720" w:leader="none"/>
          <w:tab w:val="left" w:pos="1440" w:leader="none"/>
          <w:tab w:val="left" w:pos="2160" w:leader="none"/>
          <w:tab w:val="left" w:pos="2880" w:leader="none"/>
        </w:tabs>
        <w:bidi w:val="0"/>
        <w:ind w:hanging="6480" w:start="6480"/>
        <w:jc w:val="both"/>
        <w:rPr>
          <w:sz w:val="24"/>
        </w:rPr>
      </w:pPr>
      <w:r>
        <w:rPr>
          <w:sz w:val="24"/>
        </w:rPr>
        <w:t>South Carolina Electric &amp; Gas Company              )</w:t>
        <w:tab/>
        <w:t>(not consolidated)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GridSouth Transco</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____________________________________)</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sz w:val="24"/>
        </w:rPr>
      </w:pPr>
      <w:r>
        <w:rPr>
          <w:b/>
          <w:sz w:val="24"/>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start"/>
        <w:rPr>
          <w:sz w:val="24"/>
        </w:rPr>
      </w:pPr>
      <w:r>
        <w:rPr>
          <w:sz w:val="24"/>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start"/>
        <w:rPr>
          <w:sz w:val="24"/>
        </w:rPr>
      </w:pPr>
      <w:r>
        <w:rPr>
          <w:sz w:val="24"/>
        </w:rPr>
        <w:t>Dated at Washington, D.C., this 20th day of November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start"/>
        <w:rPr>
          <w:sz w:val="24"/>
        </w:rPr>
      </w:pPr>
      <w:r>
        <w:rPr>
          <w:sz w:val="24"/>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jc w:val="start"/>
        <w:rPr>
          <w:sz w:val="24"/>
        </w:rPr>
      </w:pPr>
      <w:r>
        <w:rPr>
          <w:sz w:val="24"/>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jc w:val="start"/>
        <w:rPr>
          <w:sz w:val="24"/>
        </w:rPr>
      </w:pPr>
      <w:r>
        <w:rPr/>
        <w:t>134323.2</w:t>
      </w:r>
    </w:p>
    <w:sectPr>
      <w:footnotePr>
        <w:numFmt w:val="decimal"/>
        <w:numRestart w:val="eachSect"/>
      </w:footnotePr>
      <w:type w:val="continuous"/>
      <w:pgSz w:w="12240" w:h="15840"/>
      <w:pgMar w:left="1440" w:right="1440" w:gutter="0" w:header="1152" w:top="1209" w:footer="0" w:bottom="450"/>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w:altName w:val="Courier New"/>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ind w:firstLine="720"/>
        <w:jc w:val="both"/>
        <w:rPr/>
      </w:pPr>
      <w:r>
        <w:rPr>
          <w:rStyle w:val="FootnoteCharacters"/>
        </w:rPr>
        <w:footnoteRef/>
      </w:r>
      <w:r>
        <w:rPr>
          <w:sz w:val="24"/>
        </w:rPr>
        <w:t xml:space="preserve">  </w:t>
      </w:r>
      <w:r>
        <w:rPr>
          <w:sz w:val="22"/>
        </w:rPr>
        <w:t>These deficiencies result from the fact that, among other reasons, GridSouth and SeTrans were not developed through a collaborative process.  GridSouth held only four public meetings, at which the sponsoring Transmission Owners ("TO") simply informed the interested parties of the terms of their proposal and provided clarification as necessary.  The TOs did not allow the parties to participate openly in the development of the proposal.  Nor did those meetings have wide participation.  The same is true for SeTrans.  Southern held only two public meetings, at which it simply provided a conceptual outline of what it intended to file, without details.  While Southern did field comments from interested parties, there was no opportunity for open debate.</w:t>
      </w:r>
    </w:p>
    <w:p>
      <w:pPr>
        <w:pStyle w:val="FootnoteText"/>
        <w:bidi w:val="0"/>
        <w:jc w:val="start"/>
        <w:rPr/>
      </w:pPr>
      <w:r>
        <w:rPr/>
      </w:r>
    </w:p>
  </w:footnote>
  <w:footnote w:id="3">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ind w:firstLine="720"/>
        <w:jc w:val="both"/>
        <w:rPr>
          <w:rFonts w:ascii="Courier" w:hAnsi="Courier"/>
          <w:sz w:val="22"/>
        </w:rPr>
      </w:pPr>
      <w:r>
        <w:rPr>
          <w:rStyle w:val="FootnoteCharacters"/>
        </w:rPr>
        <w:footnoteRef/>
      </w:r>
      <w:r>
        <w:rPr>
          <w:sz w:val="24"/>
        </w:rPr>
        <w:t xml:space="preserve">  </w:t>
      </w:r>
      <w:r>
        <w:rPr>
          <w:sz w:val="22"/>
        </w:rPr>
        <w:t xml:space="preserve">Bonneville Power Administration, a Federal Power Marketing Administration, has joined with numerous other TOs to form the proposed RTO West, Docket No. RTO1-35-000. Similarly, the fact that TVA is a </w:t>
      </w:r>
      <w:r>
        <w:rPr>
          <w:i/>
          <w:sz w:val="22"/>
        </w:rPr>
        <w:t>quasi</w:t>
      </w:r>
      <w:r>
        <w:rPr>
          <w:sz w:val="22"/>
        </w:rPr>
        <w:t xml:space="preserve"> federal entity should not preclude it from complying with the Commission's policies under Order No. 2000.</w:t>
      </w:r>
    </w:p>
    <w:p>
      <w:pPr>
        <w:pStyle w:val="FootnoteText"/>
        <w:bidi w:val="0"/>
        <w:jc w:val="start"/>
        <w:rPr/>
      </w:pPr>
      <w:r>
        <w:rPr/>
      </w:r>
    </w:p>
  </w:footnote>
  <w:footnote w:id="4">
    <w:p>
      <w:pPr>
        <w:pStyle w:val="FootnoteText"/>
        <w:bidi w:val="0"/>
        <w:jc w:val="start"/>
        <w:rPr/>
      </w:pPr>
      <w:r>
        <w:rPr>
          <w:rStyle w:val="FootnoteCharacters"/>
        </w:rPr>
        <w:footnoteRef/>
      </w:r>
      <w:r>
        <w:rPr>
          <w:rStyle w:val="FootnoteRef"/>
          <w:sz w:val="22"/>
          <w:vertAlign w:val="superscript"/>
        </w:rPr>
        <w:t xml:space="preserve"> </w:t>
      </w:r>
      <w:r>
        <w:rPr>
          <w:sz w:val="24"/>
        </w:rPr>
        <w:t xml:space="preserve"> </w:t>
      </w:r>
      <w:r>
        <w:rPr>
          <w:sz w:val="22"/>
        </w:rPr>
        <w:t xml:space="preserve"> </w:t>
      </w:r>
      <w:r>
        <w:rPr>
          <w:sz w:val="22"/>
        </w:rPr>
        <w:t xml:space="preserve">In Order No. 2000, the Commission stated that "a large scope is important for an RTO to effectively perform its required functions and to support efficient and nondiscriminatory power markets."  </w:t>
      </w:r>
      <w:r>
        <w:rPr>
          <w:i/>
          <w:sz w:val="22"/>
        </w:rPr>
        <w:t xml:space="preserve">Order No. 2000 </w:t>
      </w:r>
      <w:r>
        <w:rPr>
          <w:sz w:val="22"/>
        </w:rPr>
        <w:t xml:space="preserve">at 31,083; </w:t>
      </w:r>
      <w:r>
        <w:rPr>
          <w:i/>
          <w:sz w:val="22"/>
        </w:rPr>
        <w:t>see also id.</w:t>
      </w:r>
      <w:r>
        <w:rPr>
          <w:sz w:val="22"/>
        </w:rPr>
        <w:t xml:space="preserve"> at 31,079. An RTO should also be large enough to support an open and transparent market, including ancillary service markets.  </w:t>
      </w:r>
      <w:r>
        <w:rPr>
          <w:i/>
          <w:sz w:val="22"/>
        </w:rPr>
        <w:t>Order No. 2000-A</w:t>
      </w:r>
      <w:r>
        <w:rPr>
          <w:sz w:val="22"/>
        </w:rPr>
        <w:t xml:space="preserve">, F.E.R.C.  Stats. &amp; Regs. at 31,372. </w:t>
      </w:r>
    </w:p>
  </w:footnote>
  <w:footnote w:id="5">
    <w:p>
      <w:pPr>
        <w:pStyle w:val="Normal"/>
        <w:bidi w:val="0"/>
        <w:jc w:val="both"/>
        <w:rPr>
          <w:sz w:val="22"/>
        </w:rPr>
      </w:pPr>
      <w:r>
        <w:rPr>
          <w:rStyle w:val="FootnoteCharacters"/>
        </w:rPr>
        <w:footnoteRef/>
      </w:r>
      <w:r>
        <w:rPr>
          <w:i/>
          <w:sz w:val="24"/>
        </w:rPr>
        <w:t xml:space="preserve">  </w:t>
      </w:r>
      <w:r>
        <w:rPr>
          <w:i/>
          <w:sz w:val="24"/>
        </w:rPr>
        <w:t>Promoting Wholesale Competition Through Open Access Non-Discriminatory Transmission Services by Public Utilities; Recovery of Stranded Costs by Public Utilities and Transmitting Utilities</w:t>
      </w:r>
      <w:r>
        <w:rPr>
          <w:sz w:val="24"/>
        </w:rPr>
        <w:t xml:space="preserve">, Order No. 888, 61 Fed. Reg. 21,540 (May 10, 1996), [1991-96 Reg. Preambles] F.E.R.C. Stats. &amp; Regs. ¶ 31,036 (1996), </w:t>
      </w:r>
      <w:r>
        <w:rPr>
          <w:i/>
          <w:sz w:val="24"/>
        </w:rPr>
        <w:t>clarified</w:t>
      </w:r>
      <w:r>
        <w:rPr>
          <w:sz w:val="24"/>
        </w:rPr>
        <w:t xml:space="preserve">, 76 F.E.R.C. ¶¶ 61,009, 61,347 (1996), </w:t>
      </w:r>
      <w:r>
        <w:rPr>
          <w:i/>
          <w:sz w:val="24"/>
        </w:rPr>
        <w:t>order on reh'g</w:t>
      </w:r>
      <w:r>
        <w:rPr>
          <w:sz w:val="24"/>
        </w:rPr>
        <w:t xml:space="preserve">, Order No. 888-A, 62 Fed. Reg. 12,274 (March 14, 1997), III F.E.R.C. Stats. &amp; Regs. ¶ 31,048 (1997), </w:t>
      </w:r>
      <w:r>
        <w:rPr>
          <w:i/>
          <w:sz w:val="24"/>
        </w:rPr>
        <w:t>order on reh'g</w:t>
      </w:r>
      <w:r>
        <w:rPr>
          <w:sz w:val="24"/>
        </w:rPr>
        <w:t xml:space="preserve">, Order No. 888-B, 62 Fed. Reg. 64,688 (Dec. 9, 1997), 81 F.E.R.C. ¶ 61,248 (1997), </w:t>
      </w:r>
      <w:r>
        <w:rPr>
          <w:i/>
          <w:sz w:val="24"/>
        </w:rPr>
        <w:t>aff'd and remanded sub nom. Transmission Access Policy Study Group v. FERC</w:t>
      </w:r>
      <w:r>
        <w:rPr>
          <w:sz w:val="24"/>
        </w:rPr>
        <w:t xml:space="preserve">, 225 F.3d 667 (D.C. Cir. 2000), </w:t>
      </w:r>
      <w:r>
        <w:rPr>
          <w:i/>
          <w:sz w:val="24"/>
        </w:rPr>
        <w:t>petition for cert. filed sub nom. People of the State of New York and Public Serv. Comm. of the State of New York v. FERC</w:t>
      </w:r>
      <w:r>
        <w:rPr>
          <w:sz w:val="24"/>
        </w:rPr>
        <w:t>,  69 U.S.L.W. 3281 (U.S. Oct. 11, 2000) (No. 00-568).</w:t>
      </w:r>
    </w:p>
    <w:p>
      <w:pPr>
        <w:pStyle w:val="FootnoteText"/>
        <w:bidi w:val="0"/>
        <w:jc w:val="start"/>
        <w:rPr/>
      </w:pPr>
      <w:r>
        <w:rPr/>
      </w:r>
    </w:p>
  </w:footnote>
  <w:footnote w:id="6">
    <w:p>
      <w:pPr>
        <w:pStyle w:val="FootnoteText"/>
        <w:bidi w:val="0"/>
        <w:jc w:val="start"/>
        <w:rPr/>
      </w:pPr>
      <w:r>
        <w:rPr>
          <w:rStyle w:val="FootnoteCharacters"/>
        </w:rPr>
        <w:footnoteRef/>
      </w:r>
      <w:r>
        <w:rPr>
          <w:sz w:val="22"/>
        </w:rPr>
        <w:t xml:space="preserve">  </w:t>
      </w:r>
      <w:r>
        <w:rPr>
          <w:i/>
          <w:sz w:val="24"/>
        </w:rPr>
        <w:t>Open Access Same-Time Information System (Formerly Real-Time Information Networks) and Standards of Conduct</w:t>
      </w:r>
      <w:r>
        <w:rPr>
          <w:sz w:val="24"/>
        </w:rPr>
        <w:t xml:space="preserve">, Order No. 889, 61 Fed. Reg. 21,737 (May 10, 1996), [1991-96 Regs. Preambles] F.E.R.C. Stats. &amp; Regs. ¶ 31,035 (1996), </w:t>
      </w:r>
      <w:r>
        <w:rPr>
          <w:i/>
          <w:sz w:val="24"/>
        </w:rPr>
        <w:t>order on reh’g</w:t>
      </w:r>
      <w:r>
        <w:rPr>
          <w:sz w:val="24"/>
        </w:rPr>
        <w:t xml:space="preserve">, Order No. 889-A, 62 Fed. Reg. 12,484 (March 14, 1997), III F.E.R.C. Stats. &amp; Regs. ¶ 31,049 (1997), </w:t>
      </w:r>
      <w:r>
        <w:rPr>
          <w:i/>
          <w:sz w:val="24"/>
        </w:rPr>
        <w:t>order denying reh’g</w:t>
      </w:r>
      <w:r>
        <w:rPr>
          <w:sz w:val="24"/>
        </w:rPr>
        <w:t xml:space="preserve">, Order No. 889-B, 62 Fed. Reg. 64,715 (Dec. 9, 1997), 81 F.E.R.C. ¶ 61,253 (1997), </w:t>
      </w:r>
      <w:r>
        <w:rPr>
          <w:i/>
          <w:sz w:val="24"/>
        </w:rPr>
        <w:t>aff'd and remanded sub nom.</w:t>
      </w:r>
      <w:r>
        <w:rPr>
          <w:sz w:val="24"/>
        </w:rPr>
        <w:t xml:space="preserve"> </w:t>
      </w:r>
      <w:r>
        <w:rPr>
          <w:i/>
          <w:sz w:val="24"/>
        </w:rPr>
        <w:t>Transmission Access Policy Study Group (TAPS) v. FERC</w:t>
      </w:r>
      <w:r>
        <w:rPr>
          <w:sz w:val="24"/>
        </w:rPr>
        <w:t xml:space="preserve">, 225 F.3d 667 (D.C. Cir. 2000), </w:t>
      </w:r>
      <w:r>
        <w:rPr>
          <w:i/>
          <w:sz w:val="24"/>
        </w:rPr>
        <w:t>petition for cert. filed sub nom. People of the State of New York and Public Serv. Comm. of the State of New York v. FERC</w:t>
      </w:r>
      <w:r>
        <w:rPr>
          <w:sz w:val="24"/>
        </w:rPr>
        <w:t>,  69 U.S.L.W. 3281 (U.S. Oct. 11, 2000) (No. 00-568).</w:t>
      </w:r>
    </w:p>
  </w:footnote>
  <w:footnote w:id="7">
    <w:p>
      <w:pPr>
        <w:pStyle w:val="FootnoteText"/>
        <w:bidi w:val="0"/>
        <w:jc w:val="start"/>
        <w:rPr/>
      </w:pPr>
      <w:r>
        <w:rPr>
          <w:rStyle w:val="FootnoteCharacters"/>
        </w:rPr>
        <w:footnoteRef/>
      </w:r>
      <w:r>
        <w:rPr>
          <w:sz w:val="22"/>
        </w:rPr>
        <w:tab/>
      </w:r>
      <w:r>
        <w:rPr>
          <w:sz w:val="24"/>
        </w:rPr>
        <w:t xml:space="preserve">  </w:t>
      </w:r>
      <w:r>
        <w:rPr>
          <w:sz w:val="22"/>
        </w:rPr>
        <w:t xml:space="preserve">Notably included in this group are the Antitrust Division of the Department of Justice and the Bureau of Economics of the Federal Trade Commission, both of whom have consistently urged the Commission to recognize that continued vertical integration and the failure to separate transmission monopoly functions from power seller functions perpetuate both the incentive and ability of incumbents to discriminate and block new entry.  </w:t>
      </w:r>
      <w:r>
        <w:rPr>
          <w:i/>
          <w:sz w:val="22"/>
        </w:rPr>
        <w:t>See, e.g.</w:t>
      </w:r>
      <w:r>
        <w:rPr>
          <w:sz w:val="22"/>
        </w:rPr>
        <w:t>,</w:t>
      </w:r>
      <w:r>
        <w:rPr>
          <w:i/>
          <w:sz w:val="22"/>
        </w:rPr>
        <w:t xml:space="preserve"> Order No. 888</w:t>
      </w:r>
      <w:r>
        <w:rPr>
          <w:sz w:val="22"/>
        </w:rPr>
        <w:t xml:space="preserve">, [1991-96 Regs. Preambles] F.E.R.C. at 31,654-55; </w:t>
      </w:r>
      <w:r>
        <w:rPr>
          <w:i/>
          <w:sz w:val="22"/>
        </w:rPr>
        <w:t>Comments of the Staff of the Bureau of Economics of the Federal Trade Commission</w:t>
      </w:r>
      <w:r>
        <w:rPr>
          <w:sz w:val="22"/>
        </w:rPr>
        <w:t xml:space="preserve"> at 3, Docket No. RM95-8-000,</w:t>
      </w:r>
      <w:r>
        <w:rPr>
          <w:i/>
          <w:sz w:val="22"/>
        </w:rPr>
        <w:t xml:space="preserve"> et al. </w:t>
      </w:r>
      <w:r>
        <w:rPr>
          <w:sz w:val="22"/>
        </w:rPr>
        <w:t>(filed Aug. 7, 1995).</w:t>
      </w:r>
    </w:p>
  </w:footnote>
  <w:footnote w:id="8">
    <w:p>
      <w:pPr>
        <w:pStyle w:val="FootnoteText"/>
        <w:bidi w:val="0"/>
        <w:jc w:val="start"/>
        <w:rPr/>
      </w:pPr>
      <w:r>
        <w:rPr>
          <w:rStyle w:val="FootnoteCharacters"/>
        </w:rPr>
        <w:footnoteRef/>
      </w:r>
      <w:r>
        <w:rPr>
          <w:sz w:val="22"/>
        </w:rPr>
        <w:tab/>
      </w:r>
      <w:r>
        <w:rPr>
          <w:i/>
          <w:sz w:val="22"/>
        </w:rPr>
        <w:t xml:space="preserve">  Basic Operating Functions and Responsibilities: A White Paper by the CACTF</w:t>
      </w:r>
      <w:r>
        <w:rPr>
          <w:sz w:val="22"/>
        </w:rPr>
        <w:t xml:space="preserve"> (Oct. 5,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10</w:t>
    </w:r>
    <w:r>
      <w:rPr>
        <w:sz w:val="24"/>
      </w:rPr>
      <w:fldChar w:fldCharType="end"/>
    </w:r>
  </w:p>
  <w:p>
    <w:pPr>
      <w:pStyle w:val="Normal"/>
      <w:bidi w:val="0"/>
      <w:spacing w:lineRule="atLeast" w:line="0"/>
      <w:jc w:val="start"/>
      <w:rPr>
        <w:sz w:val="24"/>
      </w:rPr>
    </w:pPr>
    <w:r>
      <w:rPr/>
      <w:drawing>
        <wp:inline distT="0" distB="0" distL="0" distR="0">
          <wp:extent cx="5989320" cy="5715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
                  <a:stretch>
                    <a:fillRect/>
                  </a:stretch>
                </pic:blipFill>
                <pic:spPr bwMode="auto">
                  <a:xfrm>
                    <a:off x="0" y="0"/>
                    <a:ext cx="5989320" cy="57150"/>
                  </a:xfrm>
                  <a:prstGeom prst="rect">
                    <a:avLst/>
                  </a:prstGeom>
                  <a:noFill/>
                </pic:spPr>
              </pic:pic>
            </a:graphicData>
          </a:graphic>
        </wp:inline>
      </w:drawing>
    </w:r>
  </w:p>
  <w:p>
    <w:pPr>
      <w:pStyle w:val="Normal"/>
      <w:bidi w:val="0"/>
      <w:spacing w:lineRule="atLeast" w:line="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10</w:t>
    </w:r>
    <w:r>
      <w:rPr>
        <w:sz w:val="24"/>
      </w:rPr>
      <w:fldChar w:fldCharType="end"/>
    </w:r>
  </w:p>
  <w:p>
    <w:pPr>
      <w:pStyle w:val="Normal"/>
      <w:bidi w:val="0"/>
      <w:spacing w:lineRule="atLeast" w:line="0"/>
      <w:jc w:val="start"/>
      <w:rPr>
        <w:sz w:val="24"/>
      </w:rPr>
    </w:pPr>
    <w:r>
      <w:rPr/>
      <w:drawing>
        <wp:inline distT="0" distB="0" distL="0" distR="0">
          <wp:extent cx="5989320" cy="5715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5989320" cy="57150"/>
                  </a:xfrm>
                  <a:prstGeom prst="rect">
                    <a:avLst/>
                  </a:prstGeom>
                  <a:noFill/>
                </pic:spPr>
              </pic:pic>
            </a:graphicData>
          </a:graphic>
        </wp:inline>
      </w:drawing>
    </w:r>
  </w:p>
  <w:p>
    <w:pPr>
      <w:pStyle w:val="Normal"/>
      <w:bidi w:val="0"/>
      <w:spacing w:lineRule="atLeast" w:line="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8</w:t>
    </w:r>
    <w:r>
      <w:rPr>
        <w:sz w:val="24"/>
      </w:rPr>
      <w:fldChar w:fldCharType="end"/>
    </w:r>
  </w:p>
  <w:p>
    <w:pPr>
      <w:pStyle w:val="Normal"/>
      <w:bidi w:val="0"/>
      <w:spacing w:lineRule="atLeast" w:line="0"/>
      <w:jc w:val="start"/>
      <w:rPr>
        <w:sz w:val="24"/>
      </w:rPr>
    </w:pPr>
    <w:r>
      <w:rPr/>
      <w:drawing>
        <wp:inline distT="0" distB="0" distL="0" distR="0">
          <wp:extent cx="5989320" cy="57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989320" cy="57150"/>
                  </a:xfrm>
                  <a:prstGeom prst="rect">
                    <a:avLst/>
                  </a:prstGeom>
                  <a:noFill/>
                </pic:spPr>
              </pic:pic>
            </a:graphicData>
          </a:graphic>
        </wp:inline>
      </w:drawing>
    </w:r>
  </w:p>
  <w:p>
    <w:pPr>
      <w:pStyle w:val="Normal"/>
      <w:bidi w:val="0"/>
      <w:spacing w:lineRule="atLeast" w:line="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9</w:t>
    </w:r>
    <w:r>
      <w:rPr>
        <w:sz w:val="24"/>
      </w:rPr>
      <w:fldChar w:fldCharType="end"/>
    </w:r>
  </w:p>
  <w:p>
    <w:pPr>
      <w:pStyle w:val="Normal"/>
      <w:bidi w:val="0"/>
      <w:spacing w:lineRule="atLeast" w:line="0"/>
      <w:jc w:val="start"/>
      <w:rPr>
        <w:sz w:val="24"/>
      </w:rPr>
    </w:pPr>
    <w:r>
      <w:rPr/>
      <w:drawing>
        <wp:inline distT="0" distB="0" distL="0" distR="0">
          <wp:extent cx="5989320" cy="5715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1"/>
                  <a:stretch>
                    <a:fillRect/>
                  </a:stretch>
                </pic:blipFill>
                <pic:spPr bwMode="auto">
                  <a:xfrm>
                    <a:off x="0" y="0"/>
                    <a:ext cx="5989320" cy="57150"/>
                  </a:xfrm>
                  <a:prstGeom prst="rect">
                    <a:avLst/>
                  </a:prstGeom>
                  <a:noFill/>
                </pic:spPr>
              </pic:pic>
            </a:graphicData>
          </a:graphic>
        </wp:inline>
      </w:drawing>
    </w:r>
  </w:p>
  <w:p>
    <w:pPr>
      <w:pStyle w:val="Normal"/>
      <w:bidi w:val="0"/>
      <w:spacing w:lineRule="atLeast" w:line="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EPMI Protest</w:t>
    </w:r>
  </w:p>
  <w:p>
    <w:pPr>
      <w:pStyle w:val="Normal"/>
      <w:bidi w:val="0"/>
      <w:spacing w:lineRule="atLeast" w:line="0"/>
      <w:jc w:val="start"/>
      <w:rPr>
        <w:sz w:val="24"/>
      </w:rPr>
    </w:pPr>
    <w:r>
      <w:rPr>
        <w:sz w:val="24"/>
      </w:rPr>
      <w:t>Docket Nos. RT01-74-000 and RT01-77-000</w:t>
      <w:tab/>
      <w:t xml:space="preserve">Page </w:t>
    </w:r>
    <w:r>
      <w:rPr>
        <w:sz w:val="24"/>
      </w:rPr>
      <w:fldChar w:fldCharType="begin"/>
    </w:r>
    <w:r>
      <w:rPr>
        <w:sz w:val="24"/>
      </w:rPr>
      <w:instrText xml:space="preserve"> PAGE </w:instrText>
    </w:r>
    <w:r>
      <w:rPr>
        <w:sz w:val="24"/>
      </w:rPr>
      <w:fldChar w:fldCharType="separate"/>
    </w:r>
    <w:r>
      <w:rPr>
        <w:sz w:val="24"/>
      </w:rPr>
      <w:t>9</w:t>
    </w:r>
    <w:r>
      <w:rPr>
        <w:sz w:val="24"/>
      </w:rPr>
      <w:fldChar w:fldCharType="end"/>
    </w:r>
  </w:p>
  <w:p>
    <w:pPr>
      <w:pStyle w:val="Normal"/>
      <w:bidi w:val="0"/>
      <w:spacing w:lineRule="atLeast" w:line="0"/>
      <w:jc w:val="start"/>
      <w:rPr>
        <w:sz w:val="24"/>
      </w:rPr>
    </w:pPr>
    <w:r>
      <w:rPr/>
      <w:drawing>
        <wp:inline distT="0" distB="0" distL="0" distR="0">
          <wp:extent cx="5989320" cy="571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tretch>
                    <a:fillRect/>
                  </a:stretch>
                </pic:blipFill>
                <pic:spPr bwMode="auto">
                  <a:xfrm>
                    <a:off x="0" y="0"/>
                    <a:ext cx="5989320" cy="57150"/>
                  </a:xfrm>
                  <a:prstGeom prst="rect">
                    <a:avLst/>
                  </a:prstGeom>
                  <a:noFill/>
                </pic:spPr>
              </pic:pic>
            </a:graphicData>
          </a:graphic>
        </wp:inline>
      </w:drawing>
    </w:r>
  </w:p>
  <w:p>
    <w:pPr>
      <w:pStyle w:val="Normal"/>
      <w:bidi w:val="0"/>
      <w:spacing w:lineRule="atLeast" w:line="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ahoma" w:cs="NotoSans NF"/>
      <w:color w:val="auto"/>
      <w:kern w:val="2"/>
      <w:sz w:val="20"/>
      <w:szCs w:val="24"/>
      <w:lang w:val="en-CA" w:eastAsia="zh-CN" w:bidi="hi-IN"/>
    </w:rPr>
  </w:style>
  <w:style w:type="character" w:styleId="QuickFormat1">
    <w:name w:val="QuickFormat1"/>
    <w:qFormat/>
    <w:rPr/>
  </w:style>
  <w:style w:type="character" w:styleId="FootnoteRef">
    <w:name w:val="Footnote Ref"/>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pPr>
    <w:rPr>
      <w:rFonts w:ascii="Times New Roman" w:hAnsi="Times New Roman" w:eastAsia="Tahoma"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Times New Roman" w:hAnsi="Times New Roman" w:eastAsia="Tahoma" w:cs="NotoSans NF"/>
      <w:color w:val="auto"/>
      <w:kern w:val="2"/>
      <w:sz w:val="24"/>
      <w:szCs w:val="24"/>
      <w:lang w:val="en-CA" w:eastAsia="zh-CN" w:bidi="hi-IN"/>
    </w:rPr>
  </w:style>
  <w:style w:type="paragraph" w:styleId="DocumentMap">
    <w:name w:val="Document Map"/>
    <w:qFormat/>
    <w:pPr>
      <w:widowControl w:val="false"/>
      <w:shd w:fill="00007F"/>
      <w:bidi w:val="0"/>
      <w:spacing w:lineRule="atLeast" w:line="0"/>
    </w:pPr>
    <w:rPr>
      <w:rFonts w:ascii="Tahoma" w:hAnsi="Tahoma" w:eastAsia="Tahoma" w:cs="NotoSans NF"/>
      <w:color w:val="FFFFFF"/>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footnotes" Target="footnotes.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