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Exchange Site License Agreement</w:t>
      </w:r>
    </w:p>
    <w:p>
      <w:pPr>
        <w:pStyle w:val="Normal"/>
        <w:spacing w:before="360" w:after="0"/>
        <w:jc w:val="both"/>
        <w:rPr/>
      </w:pPr>
      <w:r>
        <w:rPr>
          <w:szCs w:val="22"/>
        </w:rPr>
        <w:t>This Agreement (the "Agreement</w:t>
      </w:r>
      <w:r>
        <w:rPr>
          <w:smallCaps/>
          <w:szCs w:val="22"/>
        </w:rPr>
        <w:t xml:space="preserve">") </w:t>
      </w:r>
      <w:r>
        <w:rPr>
          <w:szCs w:val="22"/>
        </w:rPr>
        <w:t xml:space="preserve">is made and entered into on this, the _____ day of May, 2000 by and between Scudder Publishing LLC., a Maryland limited liability company, with offices at 100 Claude Street, Annapolis, MD (herein called "We and/or "SPG"), and Enron </w:t>
      </w:r>
      <w:del w:id="0" w:author="bwhiteh" w:date="2000-06-05T09:24:00Z">
        <w:r>
          <w:rPr>
            <w:szCs w:val="22"/>
          </w:rPr>
          <w:delText>Corp.,</w:delText>
        </w:r>
      </w:del>
      <w:ins w:id="1" w:author="bwhiteh" w:date="2000-06-05T09:24:00Z">
        <w:r>
          <w:rPr>
            <w:szCs w:val="22"/>
          </w:rPr>
          <w:t>Net Works LLC,</w:t>
        </w:r>
      </w:ins>
      <w:r>
        <w:rPr>
          <w:szCs w:val="22"/>
        </w:rPr>
        <w:t xml:space="preserve"> </w:t>
      </w:r>
      <w:del w:id="2" w:author="bwhiteh" w:date="2000-06-05T09:25:00Z">
        <w:r>
          <w:rPr>
            <w:szCs w:val="22"/>
          </w:rPr>
          <w:delText>an Oregon corporation</w:delText>
        </w:r>
      </w:del>
      <w:ins w:id="3" w:author="bwhiteh" w:date="2000-06-05T09:25:00Z">
        <w:r>
          <w:rPr>
            <w:szCs w:val="22"/>
          </w:rPr>
          <w:t>a Delaware limited liability company</w:t>
        </w:r>
      </w:ins>
      <w:r>
        <w:rPr>
          <w:szCs w:val="22"/>
        </w:rPr>
        <w:t xml:space="preserve"> with its principal address at 1400 Smith Street, Houston, TX, 77002, (herein called "Enron"), wherein it is agreed as follows:</w:t>
      </w:r>
    </w:p>
    <w:p>
      <w:pPr>
        <w:pStyle w:val="Normal"/>
        <w:spacing w:before="120" w:after="0"/>
        <w:jc w:val="center"/>
        <w:rPr>
          <w:szCs w:val="22"/>
        </w:rPr>
      </w:pPr>
      <w:r>
        <w:rPr>
          <w:b/>
          <w:bCs/>
          <w:szCs w:val="22"/>
        </w:rPr>
        <w:t>Data Redistribution/Exchange Site License (The Bandwidth Desk)</w:t>
      </w:r>
    </w:p>
    <w:p>
      <w:pPr>
        <w:pStyle w:val="Normal"/>
        <w:numPr>
          <w:ilvl w:val="0"/>
          <w:numId w:val="2"/>
        </w:numPr>
        <w:tabs>
          <w:tab w:val="clear" w:pos="720"/>
        </w:tabs>
        <w:spacing w:before="120" w:after="0"/>
        <w:ind w:hanging="0" w:start="0" w:end="0"/>
        <w:jc w:val="both"/>
        <w:rPr>
          <w:smallCaps/>
        </w:rPr>
      </w:pPr>
      <w:r>
        <w:rPr>
          <w:szCs w:val="22"/>
        </w:rPr>
        <w:t>SPG shall provide Enron with Monthly,* electronic distribution of: A. all story headlines, B. full story text, of each regular issue of The Bandwidth Desk (the "Publication") to an address/site designated by Enron. Headlines and text will be delivered electronically by SPG (in HTML Format or any other mutually agreed upon format) within 24 hours of regular publication date.</w:t>
      </w:r>
    </w:p>
    <w:p>
      <w:pPr>
        <w:pStyle w:val="Normal"/>
        <w:numPr>
          <w:ilvl w:val="0"/>
          <w:numId w:val="2"/>
        </w:numPr>
        <w:tabs>
          <w:tab w:val="clear" w:pos="720"/>
        </w:tabs>
        <w:spacing w:before="120" w:after="0"/>
        <w:ind w:hanging="0" w:start="0" w:end="0"/>
        <w:jc w:val="both"/>
        <w:rPr>
          <w:smallCaps/>
        </w:rPr>
      </w:pPr>
      <w:r>
        <w:rPr>
          <w:szCs w:val="22"/>
        </w:rPr>
        <w:t>SPG shall provide Enron with Monthly distribution of the regular</w:t>
      </w:r>
      <w:ins w:id="4" w:author="bwhiteh" w:date="2000-06-05T09:25:00Z">
        <w:r>
          <w:rPr>
            <w:szCs w:val="22"/>
          </w:rPr>
          <w:t xml:space="preserve"> </w:t>
        </w:r>
      </w:ins>
      <w:r>
        <w:rPr>
          <w:szCs w:val="22"/>
        </w:rPr>
        <w:t>HTML version of the full publication for posting on Enron's website (EnronOnline.com).</w:t>
      </w:r>
    </w:p>
    <w:p>
      <w:pPr>
        <w:pStyle w:val="Normal"/>
        <w:numPr>
          <w:ilvl w:val="0"/>
          <w:numId w:val="2"/>
        </w:numPr>
        <w:tabs>
          <w:tab w:val="clear" w:pos="720"/>
        </w:tabs>
        <w:spacing w:before="120" w:after="0"/>
        <w:ind w:hanging="0" w:start="0" w:end="0"/>
        <w:jc w:val="both"/>
        <w:rPr>
          <w:smallCaps/>
        </w:rPr>
      </w:pPr>
      <w:r>
        <w:rPr>
          <w:szCs w:val="22"/>
        </w:rPr>
        <w:t xml:space="preserve">SPG often runs breaking news stories in advance of the usual monthly* publishing schedule. These breaking news ‘Alerts’ will be made immediately available to Enron by SPG for posting on Enron's website (EnronOnline.com), </w:t>
      </w:r>
      <w:r>
        <w:rPr>
          <w:strike/>
          <w:szCs w:val="22"/>
        </w:rPr>
        <w:t xml:space="preserve"> </w:t>
      </w:r>
      <w:r>
        <w:rPr>
          <w:szCs w:val="22"/>
        </w:rPr>
        <w:t xml:space="preserve">using the same format and distribution procedures described previously in paragraph one.  </w:t>
      </w:r>
    </w:p>
    <w:p>
      <w:pPr>
        <w:pStyle w:val="Normal"/>
        <w:numPr>
          <w:ilvl w:val="0"/>
          <w:numId w:val="2"/>
        </w:numPr>
        <w:tabs>
          <w:tab w:val="clear" w:pos="720"/>
        </w:tabs>
        <w:spacing w:before="120" w:after="0"/>
        <w:ind w:hanging="0" w:start="0" w:end="0"/>
        <w:jc w:val="both"/>
        <w:rPr>
          <w:smallCaps/>
          <w:del w:id="6" w:author="bwhiteh" w:date="2000-06-05T09:25:00Z"/>
        </w:rPr>
      </w:pPr>
      <w:del w:id="5" w:author="bwhiteh" w:date="2000-06-05T09:25:00Z">
        <w:r>
          <w:rPr>
            <w:szCs w:val="22"/>
          </w:rPr>
          <w:delText>The Enron Online logo (electronic banner graphic) may be positioned on SPG’s Web site, Powerexec.com and/or scudderpublishing.com, and inside the publication for the term of this agreement upon receipt of written consent from Enron.</w:delText>
        </w:r>
      </w:del>
    </w:p>
    <w:p>
      <w:pPr>
        <w:pStyle w:val="Normal"/>
        <w:numPr>
          <w:ilvl w:val="0"/>
          <w:numId w:val="2"/>
        </w:numPr>
        <w:tabs>
          <w:tab w:val="clear" w:pos="720"/>
        </w:tabs>
        <w:spacing w:before="120" w:after="0"/>
        <w:ind w:hanging="0" w:start="0" w:end="0"/>
        <w:jc w:val="both"/>
        <w:rPr>
          <w:smallCaps/>
        </w:rPr>
      </w:pPr>
      <w:r>
        <w:rPr>
          <w:szCs w:val="22"/>
        </w:rPr>
        <w:t>Enron will be precluded from altering in any way, including alteration by omission, any or all text story files, or text headlines for user view or downloading, that are originally delivered to Enron by SPG for regular monthly* distribution. Notwithstanding the foregoing, SPG shall insure that there are no graphical, non-text references to SPG corporate sponsors in the materials provided to Enron and in the event there are such non-text, graphical references, Enron may remove such references at its sole discretion. This does not preclude SPG from writing news stories about companies which may happen to be corporate sponsors, so long as they are not identified as corporate sponsors within the body of the news story.</w:t>
      </w:r>
    </w:p>
    <w:p>
      <w:pPr>
        <w:pStyle w:val="Normal"/>
        <w:numPr>
          <w:ilvl w:val="0"/>
          <w:numId w:val="2"/>
        </w:numPr>
        <w:tabs>
          <w:tab w:val="clear" w:pos="720"/>
        </w:tabs>
        <w:spacing w:before="120" w:after="0"/>
        <w:ind w:hanging="0" w:start="0" w:end="0"/>
        <w:jc w:val="both"/>
        <w:rPr>
          <w:smallCaps/>
        </w:rPr>
      </w:pPr>
      <w:r>
        <w:rPr>
          <w:szCs w:val="22"/>
        </w:rPr>
        <w:t xml:space="preserve">This agreement is for a one-year term commencing on the date Enron first receives the Publication and is non-exclusive. This agreement may be renewed in successive years upon mutual agreement by the parties. SPG shall not deliver the Publication and this Agreement shall not commence until SPG receives notice from Enron of its desire to begin receiving the Publication.  Sixty (30) days prior to the expiration of this Agreement, SPG shall provide Enron with written notice of the Subscription Fee for the coming year.  Enron shall contact SPG within thirty (30) days of the contract termination date </w:t>
      </w:r>
      <w:del w:id="7" w:author="bwhiteh" w:date="2000-06-05T09:25:00Z">
        <w:r>
          <w:rPr>
            <w:szCs w:val="22"/>
          </w:rPr>
          <w:delText>with its intent</w:delText>
        </w:r>
      </w:del>
      <w:ins w:id="8" w:author="bwhiteh" w:date="2000-06-05T09:25:00Z">
        <w:r>
          <w:rPr>
            <w:szCs w:val="22"/>
          </w:rPr>
          <w:t>whether or not it intends</w:t>
        </w:r>
      </w:ins>
      <w:r>
        <w:rPr>
          <w:szCs w:val="22"/>
        </w:rPr>
        <w:t xml:space="preserve"> to renew</w:t>
      </w:r>
      <w:ins w:id="9" w:author="bwhiteh" w:date="2000-06-05T10:23:00Z">
        <w:r>
          <w:rPr>
            <w:szCs w:val="22"/>
          </w:rPr>
          <w:t xml:space="preserve"> this Agreement</w:t>
        </w:r>
      </w:ins>
      <w:r>
        <w:rPr>
          <w:szCs w:val="22"/>
        </w:rPr>
        <w:t>.</w:t>
      </w:r>
      <w:ins w:id="10" w:author="bwhiteh" w:date="2000-06-05T09:25:00Z">
        <w:r>
          <w:rPr>
            <w:szCs w:val="22"/>
          </w:rPr>
          <w:t xml:space="preserve">  In the event Enron does desire to renew, this Agreement shall continue for one (1) additional year on the same terms and conditions set forth herein except for the change</w:t>
        </w:r>
      </w:ins>
      <w:ins w:id="11" w:author="bwhiteh" w:date="2000-06-05T10:23:00Z">
        <w:r>
          <w:rPr>
            <w:szCs w:val="22"/>
          </w:rPr>
          <w:t xml:space="preserve"> in</w:t>
        </w:r>
      </w:ins>
      <w:ins w:id="12" w:author="bwhiteh" w:date="2000-06-05T09:25:00Z">
        <w:r>
          <w:rPr>
            <w:szCs w:val="22"/>
          </w:rPr>
          <w:t xml:space="preserve"> Subscription Fee.</w:t>
        </w:r>
      </w:ins>
    </w:p>
    <w:p>
      <w:pPr>
        <w:pStyle w:val="Normal"/>
        <w:numPr>
          <w:ilvl w:val="0"/>
          <w:numId w:val="2"/>
        </w:numPr>
        <w:tabs>
          <w:tab w:val="clear" w:pos="720"/>
        </w:tabs>
        <w:spacing w:before="120" w:after="0"/>
        <w:ind w:hanging="0" w:start="0" w:end="0"/>
        <w:jc w:val="both"/>
        <w:rPr>
          <w:smallCaps/>
        </w:rPr>
      </w:pPr>
      <w:r>
        <w:rPr>
          <w:szCs w:val="22"/>
        </w:rPr>
        <w:t>SPG is the sole and ultimate owner of all copyrighted material delivered to Enron. At the close of this one-year agreement, all SPG copyrighted material in the possession of Enron will be returned to Scudder Publishing Group or destroyed and Enron</w:t>
      </w:r>
      <w:r>
        <w:rPr>
          <w:strike/>
          <w:szCs w:val="22"/>
        </w:rPr>
        <w:t xml:space="preserve"> </w:t>
      </w:r>
      <w:r>
        <w:rPr>
          <w:szCs w:val="22"/>
        </w:rPr>
        <w:t>will no longer have access to this material, unless successive distribution/licensing arrangements are agreed upon.</w:t>
      </w:r>
    </w:p>
    <w:p>
      <w:pPr>
        <w:pStyle w:val="Normal"/>
        <w:numPr>
          <w:ilvl w:val="0"/>
          <w:numId w:val="2"/>
        </w:numPr>
        <w:tabs>
          <w:tab w:val="clear" w:pos="720"/>
        </w:tabs>
        <w:spacing w:before="120" w:after="0"/>
        <w:ind w:hanging="0" w:start="0" w:end="0"/>
        <w:jc w:val="both"/>
        <w:rPr>
          <w:smallCaps/>
        </w:rPr>
      </w:pPr>
      <w:del w:id="13" w:author="bwhiteh" w:date="2000-06-05T09:26:00Z">
        <w:r>
          <w:rPr>
            <w:szCs w:val="22"/>
          </w:rPr>
          <w:delText>Enron members</w:delText>
        </w:r>
      </w:del>
      <w:ins w:id="14" w:author="bwhiteh" w:date="2000-06-05T09:26:00Z">
        <w:r>
          <w:rPr>
            <w:szCs w:val="22"/>
          </w:rPr>
          <w:t>Employees of Enron and its affiliates</w:t>
        </w:r>
      </w:ins>
      <w:r>
        <w:rPr>
          <w:szCs w:val="22"/>
        </w:rPr>
        <w:t xml:space="preserve"> may be granted individual access to all copyrighted material delivered by SPG. In such event, Enron shall notify its users that they will be precluded from redistributing the same SPG material elsewhere within or outside their organization and that any </w:t>
      </w:r>
      <w:r>
        <w:rPr>
          <w:strike/>
          <w:szCs w:val="22"/>
        </w:rPr>
        <w:t xml:space="preserve">. </w:t>
      </w:r>
      <w:r>
        <w:rPr>
          <w:szCs w:val="22"/>
        </w:rPr>
        <w:t xml:space="preserve">such redistribution will be a violation of SPG’s copyright. Copyright conditions will be </w:t>
      </w:r>
      <w:del w:id="15" w:author="bwhiteh" w:date="2000-06-05T09:26:00Z">
        <w:r>
          <w:rPr>
            <w:szCs w:val="22"/>
          </w:rPr>
          <w:delText>posted by Enron.</w:delText>
        </w:r>
      </w:del>
      <w:ins w:id="16" w:author="bwhiteh" w:date="2000-06-05T09:26:00Z">
        <w:r>
          <w:rPr>
            <w:szCs w:val="22"/>
          </w:rPr>
          <w:t>included in the Publication by SPG.</w:t>
        </w:r>
      </w:ins>
      <w:r>
        <w:rPr>
          <w:szCs w:val="22"/>
        </w:rPr>
        <w:t xml:space="preserve">  </w:t>
      </w:r>
    </w:p>
    <w:p>
      <w:pPr>
        <w:pStyle w:val="Normal"/>
        <w:numPr>
          <w:ilvl w:val="0"/>
          <w:numId w:val="2"/>
        </w:numPr>
        <w:tabs>
          <w:tab w:val="clear" w:pos="720"/>
        </w:tabs>
        <w:spacing w:before="120" w:after="0"/>
        <w:ind w:hanging="0" w:start="0" w:end="0"/>
        <w:jc w:val="both"/>
        <w:rPr>
          <w:smallCaps/>
        </w:rPr>
      </w:pPr>
      <w:r>
        <w:rPr>
          <w:szCs w:val="22"/>
        </w:rPr>
        <w:t>If an Enron website user is interested in redistribution of The Bandwidth Desk for further, internal distribution (at the users individual company), SPG will individually negotiate such agreements.</w:t>
      </w:r>
    </w:p>
    <w:p>
      <w:pPr>
        <w:pStyle w:val="Normal"/>
        <w:numPr>
          <w:ilvl w:val="0"/>
          <w:numId w:val="2"/>
        </w:numPr>
        <w:tabs>
          <w:tab w:val="clear" w:pos="720"/>
        </w:tabs>
        <w:spacing w:before="120" w:after="0"/>
        <w:ind w:hanging="0" w:start="0" w:end="0"/>
        <w:jc w:val="both"/>
        <w:rPr>
          <w:smallCaps/>
        </w:rPr>
      </w:pPr>
      <w:r>
        <w:rPr>
          <w:szCs w:val="22"/>
        </w:rPr>
        <w:t xml:space="preserve">The fee for the above services is $25,000 (the "Subscription Fee"). Payment is to be make by check </w:t>
      </w:r>
      <w:ins w:id="17" w:author="bwhiteh" w:date="2000-06-05T09:27:00Z">
        <w:r>
          <w:rPr>
            <w:szCs w:val="22"/>
          </w:rPr>
          <w:t xml:space="preserve">or wire transfer </w:t>
        </w:r>
      </w:ins>
      <w:r>
        <w:rPr>
          <w:szCs w:val="22"/>
        </w:rPr>
        <w:t>in US funds to Scudder Publishing Group, LLC within fourteen (14) days of contract signing.</w:t>
      </w:r>
    </w:p>
    <w:p>
      <w:pPr>
        <w:pStyle w:val="Normal"/>
        <w:numPr>
          <w:ilvl w:val="0"/>
          <w:numId w:val="2"/>
        </w:numPr>
        <w:tabs>
          <w:tab w:val="clear" w:pos="720"/>
        </w:tabs>
        <w:spacing w:before="120" w:after="0"/>
        <w:ind w:hanging="0" w:start="0" w:end="0"/>
        <w:jc w:val="both"/>
        <w:rPr>
          <w:smallCaps/>
        </w:rPr>
      </w:pPr>
      <w:r>
        <w:rPr>
          <w:szCs w:val="22"/>
        </w:rPr>
        <w:t>Except as otherwise provided herein, all notices, demands or requests required to be made or delivered under this Agreement shall be effective only if in writing and delivered personally or by facsimile or mail, postage prepaid, to the respective addresses below or to such other addresses as may be designated by the party entitled to receive the same by notice similarly given and shall be deemed given by the party required to provide notice when received by the party to whom notice is required to be given:</w:t>
      </w:r>
    </w:p>
    <w:p>
      <w:pPr>
        <w:pStyle w:val="Normal"/>
        <w:numPr>
          <w:ilvl w:val="0"/>
          <w:numId w:val="0"/>
        </w:numPr>
        <w:spacing w:before="120" w:after="0"/>
        <w:ind w:hanging="0" w:start="1440" w:end="0"/>
        <w:jc w:val="both"/>
        <w:rPr>
          <w:b/>
          <w:bCs/>
          <w:szCs w:val="22"/>
        </w:rPr>
      </w:pPr>
      <w:r>
        <w:rPr>
          <w:b/>
          <w:bCs/>
          <w:szCs w:val="22"/>
        </w:rPr>
        <w:t>If to Enron:</w:t>
      </w:r>
    </w:p>
    <w:p>
      <w:pPr>
        <w:pStyle w:val="Normal"/>
        <w:numPr>
          <w:ilvl w:val="0"/>
          <w:numId w:val="0"/>
        </w:numPr>
        <w:spacing w:before="120" w:after="0"/>
        <w:ind w:hanging="0" w:start="2160" w:end="0"/>
        <w:jc w:val="both"/>
        <w:rPr>
          <w:szCs w:val="22"/>
        </w:rPr>
      </w:pPr>
      <w:r>
        <w:rPr>
          <w:szCs w:val="22"/>
        </w:rPr>
        <w:t>Enron Corp.</w:t>
      </w:r>
    </w:p>
    <w:p>
      <w:pPr>
        <w:pStyle w:val="Normal"/>
        <w:numPr>
          <w:ilvl w:val="0"/>
          <w:numId w:val="0"/>
        </w:numPr>
        <w:ind w:hanging="0" w:start="2160" w:end="0"/>
        <w:jc w:val="both"/>
        <w:rPr>
          <w:szCs w:val="22"/>
        </w:rPr>
      </w:pPr>
      <w:r>
        <w:rPr>
          <w:szCs w:val="22"/>
        </w:rPr>
        <w:t>1400 Smith Street</w:t>
      </w:r>
    </w:p>
    <w:p>
      <w:pPr>
        <w:pStyle w:val="Heading3"/>
        <w:keepNext w:val="true"/>
        <w:keepLines/>
        <w:widowControl/>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0" w:start="2160" w:end="0"/>
        <w:rPr/>
      </w:pPr>
      <w:r>
        <w:rPr/>
        <w:t xml:space="preserve">Houston, Texas 77002 </w:t>
      </w:r>
    </w:p>
    <w:p>
      <w:pPr>
        <w:pStyle w:val="Normal"/>
        <w:keepLines/>
        <w:numPr>
          <w:ilvl w:val="0"/>
          <w:numId w:val="0"/>
        </w:numPr>
        <w:ind w:hanging="0" w:start="2160" w:end="0"/>
        <w:jc w:val="both"/>
        <w:rPr>
          <w:szCs w:val="22"/>
        </w:rPr>
      </w:pPr>
      <w:r>
        <w:rPr>
          <w:szCs w:val="22"/>
        </w:rPr>
        <w:t>Attention:  David Samuels</w:t>
      </w:r>
    </w:p>
    <w:p>
      <w:pPr>
        <w:pStyle w:val="Normal"/>
        <w:keepLines/>
        <w:numPr>
          <w:ilvl w:val="0"/>
          <w:numId w:val="0"/>
        </w:numPr>
        <w:ind w:hanging="0" w:start="2160" w:end="0"/>
        <w:jc w:val="both"/>
        <w:rPr>
          <w:szCs w:val="22"/>
        </w:rPr>
      </w:pPr>
      <w:r>
        <w:rPr>
          <w:szCs w:val="22"/>
        </w:rPr>
        <w:t>Telecopier: (713) 646-2308</w:t>
      </w:r>
      <w:r>
        <w:rPr>
          <w:szCs w:val="22"/>
          <w:rPrChange w:id="0" w:author="bwhiteh" w:date="2000-06-05T10:26:00Z"/>
        </w:rPr>
        <w:tab/>
      </w:r>
    </w:p>
    <w:p>
      <w:pPr>
        <w:pStyle w:val="Normal"/>
        <w:numPr>
          <w:ilvl w:val="0"/>
          <w:numId w:val="0"/>
        </w:numPr>
        <w:spacing w:before="120" w:after="0"/>
        <w:ind w:hanging="0" w:start="1440" w:end="0"/>
        <w:jc w:val="both"/>
        <w:rPr>
          <w:b/>
          <w:bCs/>
          <w:szCs w:val="22"/>
        </w:rPr>
      </w:pPr>
      <w:r>
        <w:rPr>
          <w:b/>
          <w:bCs/>
          <w:szCs w:val="22"/>
        </w:rPr>
        <w:t>If to SPG:</w:t>
      </w:r>
    </w:p>
    <w:p>
      <w:pPr>
        <w:pStyle w:val="Normal"/>
        <w:numPr>
          <w:ilvl w:val="0"/>
          <w:numId w:val="0"/>
        </w:numPr>
        <w:tabs>
          <w:tab w:val="clear" w:pos="720"/>
          <w:tab w:val="left" w:pos="5760" w:leader="none"/>
        </w:tabs>
        <w:ind w:hanging="0" w:start="2160" w:end="0"/>
        <w:jc w:val="both"/>
        <w:rPr>
          <w:szCs w:val="22"/>
          <w:u w:val="single"/>
        </w:rPr>
      </w:pPr>
      <w:r>
        <w:rPr>
          <w:szCs w:val="22"/>
          <w:u w:val="single"/>
        </w:rPr>
        <w:tab/>
      </w:r>
    </w:p>
    <w:p>
      <w:pPr>
        <w:pStyle w:val="Normal"/>
        <w:numPr>
          <w:ilvl w:val="0"/>
          <w:numId w:val="0"/>
        </w:numPr>
        <w:tabs>
          <w:tab w:val="clear" w:pos="720"/>
          <w:tab w:val="left" w:pos="5760" w:leader="none"/>
        </w:tabs>
        <w:ind w:hanging="0" w:start="2160" w:end="0"/>
        <w:jc w:val="both"/>
        <w:rPr>
          <w:szCs w:val="22"/>
          <w:u w:val="single"/>
        </w:rPr>
      </w:pPr>
      <w:r>
        <w:rPr>
          <w:szCs w:val="22"/>
          <w:u w:val="single"/>
        </w:rPr>
        <w:tab/>
      </w:r>
    </w:p>
    <w:p>
      <w:pPr>
        <w:pStyle w:val="Normal"/>
        <w:numPr>
          <w:ilvl w:val="0"/>
          <w:numId w:val="0"/>
        </w:numPr>
        <w:tabs>
          <w:tab w:val="clear" w:pos="720"/>
          <w:tab w:val="left" w:pos="5760" w:leader="none"/>
        </w:tabs>
        <w:ind w:hanging="0" w:start="2160" w:end="0"/>
        <w:jc w:val="both"/>
        <w:rPr>
          <w:szCs w:val="22"/>
          <w:u w:val="single"/>
        </w:rPr>
      </w:pPr>
      <w:r>
        <w:rPr>
          <w:szCs w:val="22"/>
          <w:u w:val="single"/>
        </w:rPr>
        <w:tab/>
      </w:r>
    </w:p>
    <w:p>
      <w:pPr>
        <w:pStyle w:val="Normal"/>
        <w:numPr>
          <w:ilvl w:val="0"/>
          <w:numId w:val="0"/>
        </w:numPr>
        <w:tabs>
          <w:tab w:val="clear" w:pos="720"/>
          <w:tab w:val="left" w:pos="5760" w:leader="none"/>
        </w:tabs>
        <w:ind w:hanging="0" w:start="2160" w:end="0"/>
        <w:jc w:val="both"/>
        <w:rPr>
          <w:szCs w:val="22"/>
          <w:u w:val="single"/>
        </w:rPr>
      </w:pPr>
      <w:r>
        <w:rPr>
          <w:szCs w:val="22"/>
          <w:u w:val="single"/>
        </w:rPr>
        <w:tab/>
      </w:r>
    </w:p>
    <w:p>
      <w:pPr>
        <w:pStyle w:val="Normal"/>
        <w:numPr>
          <w:ilvl w:val="0"/>
          <w:numId w:val="0"/>
        </w:numPr>
        <w:tabs>
          <w:tab w:val="clear" w:pos="720"/>
          <w:tab w:val="left" w:pos="5760" w:leader="none"/>
        </w:tabs>
        <w:ind w:hanging="0" w:start="2160" w:end="0"/>
        <w:jc w:val="both"/>
        <w:rPr>
          <w:szCs w:val="22"/>
        </w:rPr>
      </w:pPr>
      <w:r>
        <w:rPr>
          <w:szCs w:val="22"/>
        </w:rPr>
        <w:t xml:space="preserve">Attention: </w:t>
      </w:r>
      <w:r>
        <w:rPr>
          <w:szCs w:val="22"/>
          <w:u w:val="single"/>
        </w:rPr>
        <w:tab/>
      </w:r>
    </w:p>
    <w:p>
      <w:pPr>
        <w:pStyle w:val="Normal"/>
        <w:keepLines/>
        <w:numPr>
          <w:ilvl w:val="0"/>
          <w:numId w:val="0"/>
        </w:numPr>
        <w:tabs>
          <w:tab w:val="clear" w:pos="720"/>
          <w:tab w:val="left" w:pos="5760" w:leader="none"/>
        </w:tabs>
        <w:ind w:hanging="0" w:start="2160" w:end="0"/>
        <w:jc w:val="both"/>
        <w:rPr>
          <w:szCs w:val="22"/>
        </w:rPr>
      </w:pPr>
      <w:r>
        <w:rPr>
          <w:szCs w:val="22"/>
        </w:rPr>
        <w:t xml:space="preserve">Telecopier: </w:t>
      </w:r>
      <w:r>
        <w:rPr>
          <w:szCs w:val="22"/>
          <w:u w:val="single"/>
        </w:rPr>
        <w:tab/>
      </w:r>
    </w:p>
    <w:p>
      <w:pPr>
        <w:pStyle w:val="BodyTextIndent"/>
        <w:ind w:start="0" w:end="0"/>
        <w:rPr/>
      </w:pPr>
      <w:r>
        <w:rPr/>
        <w:t xml:space="preserve">In the event SPG needs to send Enron notice of any alleged default or breach of this Agreement, SPG shall send notice pursuant to the foregoing to the attention of Managing Director, </w:t>
      </w:r>
      <w:del w:id="19" w:author="bwhiteh" w:date="2000-06-05T09:42:00Z">
        <w:r>
          <w:rPr/>
          <w:delText>Informaiton</w:delText>
        </w:r>
      </w:del>
      <w:ins w:id="20" w:author="bwhiteh" w:date="2000-06-05T09:42:00Z">
        <w:r>
          <w:rPr/>
          <w:t>Information</w:t>
        </w:r>
      </w:ins>
      <w:r>
        <w:rPr/>
        <w:t xml:space="preserve"> Technology, with a copy to Enron’s Executive Vice President and General Counsel</w:t>
      </w:r>
    </w:p>
    <w:p>
      <w:pPr>
        <w:pStyle w:val="Heading1"/>
        <w:ind w:hanging="0" w:start="0"/>
        <w:rPr>
          <w:szCs w:val="22"/>
        </w:rPr>
      </w:pPr>
      <w:r>
        <w:rPr/>
        <w:t>MISCELLANEOUS</w:t>
      </w:r>
    </w:p>
    <w:p>
      <w:pPr>
        <w:pStyle w:val="Normal"/>
        <w:numPr>
          <w:ilvl w:val="0"/>
          <w:numId w:val="3"/>
        </w:numPr>
        <w:tabs>
          <w:tab w:val="clear" w:pos="720"/>
        </w:tabs>
        <w:spacing w:before="120" w:after="0"/>
        <w:ind w:hanging="0" w:start="0" w:end="0"/>
        <w:jc w:val="both"/>
        <w:rPr>
          <w:szCs w:val="22"/>
          <w:ins w:id="23" w:author="bwhiteh" w:date="2000-06-05T10:24:00Z"/>
        </w:rPr>
      </w:pPr>
      <w:ins w:id="21" w:author="bwhiteh" w:date="2000-06-05T10:24:00Z">
        <w:r>
          <w:rPr>
            <w:szCs w:val="22"/>
            <w:u w:val="single"/>
          </w:rPr>
          <w:t>Representations and Warranties</w:t>
        </w:r>
      </w:ins>
      <w:ins w:id="22" w:author="bwhiteh" w:date="2000-06-05T10:24:00Z">
        <w:r>
          <w:rPr>
            <w:szCs w:val="22"/>
          </w:rPr>
          <w:t>.</w:t>
        </w:r>
      </w:ins>
    </w:p>
    <w:p>
      <w:pPr>
        <w:pStyle w:val="BodyText"/>
        <w:rPr/>
      </w:pPr>
      <w:ins w:id="24" w:author="bwhiteh" w:date="2000-06-05T10:24:00Z">
        <w:r>
          <w:rPr/>
          <w:t>(a)</w:t>
          <w:tab/>
        </w:r>
      </w:ins>
      <w:r>
        <w:rPr/>
        <w:t>SPG represents and warrants to Enron that (i) 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agreement to which it is a party or by which it is bound,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 (iv) all approvals, authorizations or other actions by, or filings with, any governmental authority or other person or entity necessary for the validity or enforceability of its obligations under this Agreement have been obtained, (v) it is the sole owner or a valid licensee of the SPG copyrighted material or any other material to be delivered to Enron by SPG, with full and absolute right to license such materials to Enron as contemplated herein, (vi) no part of the Publication or SPG copyrighted material shall infringe upon the copyrights, trademarks, trade secrets, patents, intellectual property rights or any other proprietary rights of any other person or entity, (vii) the accuracy of all Publications provided under this Agreement shall be true and correct as of the date provided, and (viii) the performance of SPG’s obligations under this Agreement shall not violate any applicable law, rule,  regulation, order or injunction and shall not violate any intellectual property rights in force of any third party.</w:t>
      </w:r>
    </w:p>
    <w:p>
      <w:pPr>
        <w:pStyle w:val="BodyText"/>
        <w:rPr>
          <w:smallCaps/>
        </w:rPr>
      </w:pPr>
      <w:ins w:id="25" w:author="bwhiteh" w:date="2000-06-05T10:24:00Z">
        <w:r>
          <w:rPr/>
          <w:t>(b)</w:t>
          <w:tab/>
        </w:r>
      </w:ins>
      <w:r>
        <w:rPr/>
        <w:t xml:space="preserve">Enron represents and warrants to SPG that (i) 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material agreement to which it is a party or by which it is bound, and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  </w:t>
      </w:r>
      <w:del w:id="26" w:author="bwhiteh" w:date="2000-06-05T09:27:00Z">
        <w:r>
          <w:rPr/>
          <w:delText>For purposes of this Section 11(b), “material agreement” shall mean any agreement that creates an obligation of $100,000,000 or more.</w:delText>
        </w:r>
      </w:del>
    </w:p>
    <w:p>
      <w:pPr>
        <w:pStyle w:val="Normal"/>
        <w:numPr>
          <w:ilvl w:val="0"/>
          <w:numId w:val="3"/>
        </w:numPr>
        <w:tabs>
          <w:tab w:val="clear" w:pos="720"/>
        </w:tabs>
        <w:spacing w:before="120" w:after="0"/>
        <w:ind w:hanging="0" w:start="0" w:end="0"/>
        <w:jc w:val="both"/>
        <w:rPr>
          <w:smallCaps/>
        </w:rPr>
      </w:pPr>
      <w:r>
        <w:rPr>
          <w:szCs w:val="22"/>
          <w:u w:val="single"/>
        </w:rPr>
        <w:t>Limitation on Liability.</w:t>
      </w:r>
      <w:r>
        <w:rPr>
          <w:szCs w:val="22"/>
        </w:rPr>
        <w:t xml:space="preserve">  NO PARTY SHALL BE REQUIRED TO PAY OR BE LIABLE FOR SPECIAL, PUNITIVE, EXEMPLARY, INCIDENTAL, CONSEQUENTIAL, OR INDIRECT DAMAGES (WHETHER OR NOT ARISING FROM ITS NEGLIGENCE) TO ANY OTHER PARTY.</w:t>
      </w:r>
    </w:p>
    <w:p>
      <w:pPr>
        <w:pStyle w:val="Normal"/>
        <w:numPr>
          <w:ilvl w:val="0"/>
          <w:numId w:val="3"/>
        </w:numPr>
        <w:tabs>
          <w:tab w:val="clear" w:pos="720"/>
        </w:tabs>
        <w:spacing w:before="120" w:after="0"/>
        <w:ind w:hanging="0" w:start="0" w:end="0"/>
        <w:jc w:val="both"/>
        <w:rPr>
          <w:smallCaps/>
        </w:rPr>
      </w:pPr>
      <w:r>
        <w:rPr>
          <w:szCs w:val="22"/>
          <w:u w:val="single"/>
        </w:rPr>
        <w:t>Force Majeure.</w:t>
      </w:r>
      <w:r>
        <w:rPr>
          <w:szCs w:val="22"/>
        </w:rPr>
        <w:t xml:space="preserve">  Force Majeure shall mean an event or occurrence that is not reasonably foreseeable by a party, is beyond its reasonable control, and is not caused by its negligence or lack of due diligence, including, but not limited to, natural disasters, fire, lightning, wind, perils of the sea, flood, explosions, acts of God or the public enemy, vandalism, blockages, insurrections, riots, war, sabotage, action of a court or public authority. Notwithstanding anything else herein to the contrary, changes in market conditions or work stoppages caused by strikes or lockouts shall not constitute Force Majeure. In the event either party is rendered unable, by reason of an event of Force Majeure, to perform, wholly or in part, any obligation or commitment set forth in this Agreement, then its obligations, except for obligations to pay money, shall be suspended to the extent and for the period of such Force Majeure condition.</w:t>
      </w:r>
    </w:p>
    <w:p>
      <w:pPr>
        <w:pStyle w:val="Normal"/>
        <w:numPr>
          <w:ilvl w:val="0"/>
          <w:numId w:val="3"/>
        </w:numPr>
        <w:tabs>
          <w:tab w:val="clear" w:pos="720"/>
        </w:tabs>
        <w:spacing w:before="120" w:after="0"/>
        <w:ind w:hanging="0" w:start="0" w:end="0"/>
        <w:jc w:val="both"/>
        <w:rPr>
          <w:smallCaps/>
        </w:rPr>
      </w:pPr>
      <w:r>
        <w:rPr>
          <w:szCs w:val="22"/>
          <w:u w:val="single"/>
        </w:rPr>
        <w:t xml:space="preserve">Indemnification. </w:t>
      </w:r>
      <w:r>
        <w:rPr>
          <w:szCs w:val="22"/>
        </w:rPr>
        <w:t xml:space="preserve"> The Parties agree to indemnify and hold each other harmless from and against all claims, demands, losses, liabilities and expenses (including reasonable attorneys’ fees) for personal injury, facilities or the property of any other person, entity or corporation to the extent arising out of, resulting from or caused by their negligent or intentional acts, errors, or omissions</w:t>
      </w:r>
      <w:ins w:id="27" w:author="bwhiteh" w:date="2000-06-05T09:27:00Z">
        <w:r>
          <w:rPr>
            <w:szCs w:val="22"/>
          </w:rPr>
          <w:t xml:space="preserve"> which breach the terms and conditions contained herein</w:t>
        </w:r>
      </w:ins>
      <w:r>
        <w:rPr>
          <w:szCs w:val="22"/>
        </w:rPr>
        <w:t>. All content supplied to Enron by Scudder Publishing Group according to the terms of this contract is copyrighted by Scudder Publishing Group.  SPG agrees to indemnify and hold harmless Enron and its affiliates, officers, directors, employees, representatives, agents and successors and assigns from and against any and all claims and losses (including, but not limited to, attorneys’ fees, expert witness fees and expenses) arising from or in connection with breach of, or failure to perform, any of the representations, warranties and covenants set forth in this Agreement or in the performance of any of its duties, responsibilities or services under this Agreement.</w:t>
      </w:r>
    </w:p>
    <w:p>
      <w:pPr>
        <w:pStyle w:val="Normal"/>
        <w:numPr>
          <w:ilvl w:val="0"/>
          <w:numId w:val="3"/>
        </w:numPr>
        <w:tabs>
          <w:tab w:val="clear" w:pos="720"/>
        </w:tabs>
        <w:spacing w:before="120" w:after="0"/>
        <w:ind w:hanging="0" w:start="0" w:end="0"/>
        <w:jc w:val="both"/>
        <w:rPr>
          <w:smallCaps/>
        </w:rPr>
      </w:pPr>
      <w:r>
        <w:rPr>
          <w:szCs w:val="22"/>
          <w:u w:val="single"/>
        </w:rPr>
        <w:t>Entire Agreement;  amendments.</w:t>
      </w:r>
      <w:r>
        <w:rPr>
          <w:szCs w:val="22"/>
        </w:rPr>
        <w:t xml:space="preserve">  This Agreement and the documents made a part hereof contain the entire Agreement and understanding between the parties with respect to the subject matter of this Agreement and supersede all prior oral or written negotiations, understandings and agreements with respect to the same subject matter.  Neither party shall be bound by or shall be deemed to have made any representations, warranties or commitments except those contained in this Agreement and the documents made a part hereof.  No provision of this Agreement may be changed, waived, modified, discharged or terminated except by a written instrument executed by the parties hereto.</w:t>
      </w:r>
    </w:p>
    <w:p>
      <w:pPr>
        <w:pStyle w:val="Normal"/>
        <w:numPr>
          <w:ilvl w:val="0"/>
          <w:numId w:val="3"/>
        </w:numPr>
        <w:tabs>
          <w:tab w:val="clear" w:pos="720"/>
        </w:tabs>
        <w:spacing w:before="120" w:after="0"/>
        <w:ind w:hanging="0" w:start="0" w:end="0"/>
        <w:jc w:val="both"/>
        <w:rPr>
          <w:smallCaps/>
        </w:rPr>
      </w:pPr>
      <w:r>
        <w:rPr>
          <w:szCs w:val="22"/>
          <w:u w:val="single"/>
        </w:rPr>
        <w:t>Severability.</w:t>
      </w:r>
      <w:r>
        <w:rPr>
          <w:szCs w:val="22"/>
        </w:rPr>
        <w:t xml:space="preserve">  Should any provision of this Agreement for any reason be declared invalid or unenforceable, such decision shall not affect the validity of the remaining portions, which shall nevertheless remain in full force and effect as if this Agreement had been executed with the invalid portion thereof eliminated.  </w:t>
      </w:r>
    </w:p>
    <w:p>
      <w:pPr>
        <w:pStyle w:val="Normal"/>
        <w:numPr>
          <w:ilvl w:val="0"/>
          <w:numId w:val="3"/>
        </w:numPr>
        <w:tabs>
          <w:tab w:val="clear" w:pos="720"/>
        </w:tabs>
        <w:spacing w:before="120" w:after="0"/>
        <w:ind w:hanging="0" w:start="0" w:end="0"/>
        <w:jc w:val="both"/>
        <w:rPr>
          <w:smallCaps/>
        </w:rPr>
      </w:pPr>
      <w:r>
        <w:rPr>
          <w:szCs w:val="22"/>
          <w:u w:val="single"/>
        </w:rPr>
        <w:t>Waiver.</w:t>
      </w:r>
      <w:r>
        <w:rPr>
          <w:szCs w:val="22"/>
        </w:rPr>
        <w:t xml:space="preserve">  Either party's delay or failure to enforce or exercise any provision of this Agreement or rights existing hereunder shall not in any way be construed as or constitute a waiver of any such provision or right, or prevent that party thereafter from enforcing that provision or right and each and every other provision or right of this Agreement.</w:t>
      </w:r>
    </w:p>
    <w:p>
      <w:pPr>
        <w:pStyle w:val="Normal"/>
        <w:numPr>
          <w:ilvl w:val="0"/>
          <w:numId w:val="3"/>
        </w:numPr>
        <w:tabs>
          <w:tab w:val="clear" w:pos="720"/>
        </w:tabs>
        <w:spacing w:before="120" w:after="0"/>
        <w:ind w:hanging="0" w:start="0" w:end="0"/>
        <w:jc w:val="both"/>
        <w:rPr>
          <w:smallCaps/>
        </w:rPr>
      </w:pPr>
      <w:r>
        <w:rPr>
          <w:szCs w:val="22"/>
          <w:u w:val="single"/>
        </w:rPr>
        <w:t>Arbitration.</w:t>
      </w:r>
      <w:r>
        <w:rPr>
          <w:szCs w:val="22"/>
        </w:rPr>
        <w:t xml:space="preserve">  All disputes arising out or relating to this Agreement, including without limitation the breach, interpretation, validity or existence thereof, which can not be resolved by the Parties, shall be determined by final and binding arbitration in accordance with the Commercial Arbitration Rules of the American Arbitration Association (AAA).  The decision of the arbitrator(s) shall be final and binding upon the Parties, and judgment on the award may be entered in any court having jurisdiction.</w:t>
      </w:r>
    </w:p>
    <w:p>
      <w:pPr>
        <w:pStyle w:val="Normal"/>
        <w:numPr>
          <w:ilvl w:val="0"/>
          <w:numId w:val="3"/>
        </w:numPr>
        <w:tabs>
          <w:tab w:val="clear" w:pos="720"/>
        </w:tabs>
        <w:spacing w:before="120" w:after="0"/>
        <w:ind w:hanging="0" w:start="0" w:end="0"/>
        <w:jc w:val="both"/>
        <w:rPr>
          <w:smallCaps/>
        </w:rPr>
      </w:pPr>
      <w:r>
        <w:rPr>
          <w:szCs w:val="22"/>
          <w:u w:val="single"/>
        </w:rPr>
        <w:t>Choice of Law.</w:t>
      </w:r>
      <w:r>
        <w:rPr>
          <w:szCs w:val="22"/>
        </w:rPr>
        <w:t xml:space="preserve">  This Agreement shall be governed by and construed in accordance  with the laws of the State of </w:t>
      </w:r>
      <w:del w:id="28" w:author="bwhiteh" w:date="2000-06-05T09:28:00Z">
        <w:r>
          <w:rPr>
            <w:szCs w:val="22"/>
          </w:rPr>
          <w:delText>Maryland</w:delText>
        </w:r>
      </w:del>
      <w:ins w:id="29" w:author="bwhiteh" w:date="2000-06-05T09:28:00Z">
        <w:r>
          <w:rPr>
            <w:szCs w:val="22"/>
          </w:rPr>
          <w:t>Texas</w:t>
        </w:r>
      </w:ins>
      <w:r>
        <w:rPr>
          <w:szCs w:val="22"/>
        </w:rPr>
        <w:t>.</w:t>
      </w:r>
    </w:p>
    <w:p>
      <w:pPr>
        <w:pStyle w:val="Normal"/>
        <w:numPr>
          <w:ilvl w:val="0"/>
          <w:numId w:val="3"/>
        </w:numPr>
        <w:tabs>
          <w:tab w:val="clear" w:pos="720"/>
        </w:tabs>
        <w:spacing w:before="120" w:after="0"/>
        <w:ind w:hanging="0" w:start="0" w:end="0"/>
        <w:jc w:val="both"/>
        <w:rPr>
          <w:smallCaps/>
        </w:rPr>
      </w:pPr>
      <w:r>
        <w:rPr>
          <w:szCs w:val="22"/>
          <w:u w:val="single"/>
        </w:rPr>
        <w:t>Assignment</w:t>
      </w:r>
      <w:r>
        <w:rPr>
          <w:szCs w:val="22"/>
        </w:rPr>
        <w:t xml:space="preserve">.  Neither party may assign this Agreement without the prior written consent of the other party, and any attempt by a party to assign this Agreement without such consent shall be null and void and a material breach of this Agreement; </w:t>
      </w:r>
      <w:r>
        <w:rPr>
          <w:szCs w:val="22"/>
          <w:u w:val="single"/>
        </w:rPr>
        <w:t>provided</w:t>
      </w:r>
      <w:r>
        <w:rPr>
          <w:szCs w:val="22"/>
        </w:rPr>
        <w:t xml:space="preserve">, </w:t>
      </w:r>
      <w:r>
        <w:rPr>
          <w:szCs w:val="22"/>
          <w:u w:val="single"/>
        </w:rPr>
        <w:t>however</w:t>
      </w:r>
      <w:r>
        <w:rPr>
          <w:szCs w:val="22"/>
        </w:rPr>
        <w:t>, that either party may assign this Agreement (i) to any entity in which the party has a greater than fifty percent (50%) equity ownership interest or of which the party has voting control, or (ii) to any entity which acquires more than fifty percent (50%) of that party’s equity ownership interests (whether by merger or otherwise) or substantially all that party’s assets, provided the parties shall remain responsible for the performance of the obligations hereunder.</w:t>
      </w:r>
    </w:p>
    <w:p>
      <w:pPr>
        <w:pStyle w:val="Normal"/>
        <w:numPr>
          <w:ilvl w:val="0"/>
          <w:numId w:val="3"/>
        </w:numPr>
        <w:tabs>
          <w:tab w:val="clear" w:pos="720"/>
        </w:tabs>
        <w:spacing w:before="120" w:after="0"/>
        <w:ind w:hanging="0" w:start="0" w:end="0"/>
        <w:jc w:val="both"/>
        <w:rPr>
          <w:smallCaps/>
        </w:rPr>
      </w:pPr>
      <w:r>
        <w:rPr>
          <w:szCs w:val="22"/>
          <w:u w:val="single"/>
        </w:rPr>
        <w:t>Default</w:t>
      </w:r>
      <w:r>
        <w:rPr>
          <w:szCs w:val="22"/>
        </w:rPr>
        <w:t>.</w:t>
      </w:r>
    </w:p>
    <w:p>
      <w:pPr>
        <w:pStyle w:val="BodyTextIndent2"/>
        <w:numPr>
          <w:ilvl w:val="1"/>
          <w:numId w:val="2"/>
        </w:numPr>
        <w:tabs>
          <w:tab w:val="clear" w:pos="720"/>
        </w:tabs>
        <w:ind w:hanging="0" w:start="0" w:end="0"/>
        <w:rPr/>
      </w:pPr>
      <w:r>
        <w:rPr/>
        <w:t>In addition to any other remedy available at law or in equity, either party may terminate this Agreement immediately, without further obligation to the other party, in the event of a breach of this Agreement by the other party that is not cured within ten (10) days’ written notice of such breach.</w:t>
      </w:r>
    </w:p>
    <w:p>
      <w:pPr>
        <w:pStyle w:val="Normal"/>
        <w:numPr>
          <w:ilvl w:val="1"/>
          <w:numId w:val="2"/>
        </w:numPr>
        <w:tabs>
          <w:tab w:val="clear" w:pos="720"/>
        </w:tabs>
        <w:spacing w:before="120" w:after="0"/>
        <w:ind w:hanging="0" w:start="0" w:end="0"/>
        <w:jc w:val="both"/>
        <w:rPr>
          <w:smallCaps/>
        </w:rPr>
      </w:pPr>
      <w:r>
        <w:rPr/>
        <w:t xml:space="preserve">In addition to the right of termination set forth in Section </w:t>
      </w:r>
      <w:del w:id="30" w:author="bwhiteh" w:date="2000-06-05T10:25:00Z">
        <w:r>
          <w:rPr/>
          <w:delText>10</w:delText>
        </w:r>
      </w:del>
      <w:ins w:id="31" w:author="bwhiteh" w:date="2000-06-05T10:25:00Z">
        <w:r>
          <w:rPr/>
          <w:t>11</w:t>
        </w:r>
      </w:ins>
      <w:r>
        <w:rPr/>
        <w:t>(a) above and in addition to any other remedies available at law or in equity, in the event that due to any reason within SPG’s control, there is an interruption in Enron’s receipt of the Publication which continues for ten (10) days following written notice to SPG of such interruption, Enron may terminate this Agreement immediately, in which case SPG shall immediately refund, pro rata any of the Subscription Fee paid in advance.</w:t>
      </w:r>
    </w:p>
    <w:p>
      <w:pPr>
        <w:pStyle w:val="Normal"/>
        <w:numPr>
          <w:ilvl w:val="0"/>
          <w:numId w:val="3"/>
        </w:numPr>
        <w:tabs>
          <w:tab w:val="clear" w:pos="720"/>
        </w:tabs>
        <w:spacing w:before="120" w:after="0"/>
        <w:ind w:hanging="0" w:start="0" w:end="0"/>
        <w:jc w:val="both"/>
        <w:rPr>
          <w:smallCaps/>
          <w:ins w:id="34" w:author="bwhiteh" w:date="2000-06-05T09:28:00Z"/>
        </w:rPr>
      </w:pPr>
      <w:ins w:id="32" w:author="bwhiteh" w:date="2000-06-05T09:28:00Z">
        <w:r>
          <w:rPr>
            <w:szCs w:val="22"/>
            <w:u w:val="single"/>
          </w:rPr>
          <w:t>Insurance</w:t>
        </w:r>
      </w:ins>
      <w:ins w:id="33" w:author="bwhiteh" w:date="2000-06-05T09:28:00Z">
        <w:r>
          <w:rPr>
            <w:szCs w:val="22"/>
          </w:rPr>
          <w:t>.  SPG agrees that it will maintain insurance with a carrier reasonably acceptable to Enron and with coverage for commercial general liability and errors and omissions of at least one million dollars per occurrence.  SPG will name Enron as an additional insured on such insurance and will provide evidence of such insurance to Enron within fourteen (14) days after the date hereof.  Such insurance policy shall not be cancelled or modified without Enron's prior written consent.</w:t>
        </w:r>
      </w:ins>
    </w:p>
    <w:p>
      <w:pPr>
        <w:pStyle w:val="Normal"/>
        <w:numPr>
          <w:ilvl w:val="0"/>
          <w:numId w:val="3"/>
        </w:numPr>
        <w:tabs>
          <w:tab w:val="clear" w:pos="720"/>
        </w:tabs>
        <w:spacing w:before="120" w:after="0"/>
        <w:ind w:hanging="0" w:start="0" w:end="0"/>
        <w:jc w:val="both"/>
        <w:rPr>
          <w:smallCaps/>
          <w:ins w:id="52" w:author="bwhiteh" w:date="2000-06-05T09:28:00Z"/>
        </w:rPr>
      </w:pPr>
      <w:ins w:id="35" w:author="bwhiteh" w:date="2000-06-05T09:28:00Z">
        <w:r>
          <w:rPr>
            <w:szCs w:val="22"/>
            <w:u w:val="single"/>
          </w:rPr>
          <w:t>Confidential Information</w:t>
        </w:r>
      </w:ins>
      <w:ins w:id="36" w:author="bwhiteh" w:date="2000-06-05T09:28:00Z">
        <w:r>
          <w:rPr>
            <w:smallCaps/>
          </w:rPr>
          <w:t xml:space="preserve">.  </w:t>
        </w:r>
      </w:ins>
      <w:ins w:id="37" w:author="bwhiteh" w:date="2000-06-05T09:41:00Z">
        <w:r>
          <w:rPr/>
          <w:t xml:space="preserve">Enron and </w:t>
        </w:r>
      </w:ins>
      <w:ins w:id="38" w:author="bwhiteh" w:date="2000-06-05T10:25:00Z">
        <w:r>
          <w:rPr/>
          <w:t>SPG</w:t>
        </w:r>
      </w:ins>
      <w:ins w:id="39" w:author="bwhiteh" w:date="2000-06-05T09:41:00Z">
        <w:r>
          <w:rPr/>
          <w:t xml:space="preserve"> agree that the existence of this Agreement and all information (whether provided in writing, orally or in any other format) disclosed by either of them to the other during the negotiation of this Agreement or to be disclosed during the Term of this Agreement (including, without limitation, business plans, product ideas, marketing concepts, financial information and projections) shall constitute “</w:t>
        </w:r>
      </w:ins>
      <w:ins w:id="40" w:author="bwhiteh" w:date="2000-06-05T09:41:00Z">
        <w:r>
          <w:rPr>
            <w:u w:val="single"/>
          </w:rPr>
          <w:t>Confidential Information</w:t>
        </w:r>
      </w:ins>
      <w:ins w:id="41" w:author="bwhiteh" w:date="2000-06-05T09:41:00Z">
        <w:r>
          <w:rPr/>
          <w:t xml:space="preserve">”; </w:t>
        </w:r>
      </w:ins>
      <w:ins w:id="42" w:author="bwhiteh" w:date="2000-06-05T09:41:00Z">
        <w:r>
          <w:rPr>
            <w:u w:val="single"/>
          </w:rPr>
          <w:t>provided</w:t>
        </w:r>
      </w:ins>
      <w:ins w:id="43" w:author="bwhiteh" w:date="2000-06-05T09:41:00Z">
        <w:r>
          <w:rPr/>
          <w:t xml:space="preserve">, however that Confidential Information shall not include information (i)  that is or becomes publicly known through no wrongful act of either party (or any of its employees), (ii) that has been approved for release by written authorization of the originating party, (iii) that has been disclosed pursuant to a requirement of a government agency or law or by a court of law, or (iv) that is known to such party at the time of disclosure or is thereafter acquired from a source other than the party disclosing such information.  During the Term, and at all times thereafter, the party to whom Confidential Information has been imparted shall maintain such information as confidential and shall not disclose or permit the same to be disclosed to any other persons or entity.  Each party shall take all reasonable steps to minimize the risks of disclosure of Confidential Information.  Each of the parties further agree that the unauthorized disclosure by it of Confidential Information received from the other shall cause irreparable harm and significant injury to the other which may be difficult to ascertain.  Accordingly, each party agrees that the other shall be entitled to equitable relief, including, without limitation, an immediate injunction enjoining any breach by it of this Section </w:t>
        </w:r>
      </w:ins>
      <w:ins w:id="44" w:author="bwhiteh" w:date="2000-06-05T10:25:00Z">
        <w:r>
          <w:rPr/>
          <w:t>13</w:t>
        </w:r>
      </w:ins>
      <w:ins w:id="45" w:author="bwhiteh" w:date="2000-06-05T09:41:00Z">
        <w:r>
          <w:rPr/>
          <w:t xml:space="preserve">, in addition to all other remedies available to such party at law or in equity.  The parties agree that this Section </w:t>
        </w:r>
      </w:ins>
      <w:ins w:id="46" w:author="bwhiteh" w:date="2000-06-05T10:27:00Z">
        <w:r>
          <w:rPr/>
          <w:t>13</w:t>
        </w:r>
      </w:ins>
      <w:ins w:id="47" w:author="bwhiteh" w:date="2000-06-05T09:41:00Z">
        <w:r>
          <w:rPr/>
          <w:t xml:space="preserve">, shall survive the termination or expiration of this Agreement for a period of </w:t>
        </w:r>
      </w:ins>
      <w:ins w:id="48" w:author="bwhiteh" w:date="2000-06-05T10:25:00Z">
        <w:r>
          <w:rPr/>
          <w:t>two</w:t>
        </w:r>
      </w:ins>
      <w:ins w:id="49" w:author="bwhiteh" w:date="2000-06-05T09:41:00Z">
        <w:r>
          <w:rPr/>
          <w:t xml:space="preserve"> (</w:t>
        </w:r>
      </w:ins>
      <w:ins w:id="50" w:author="bwhiteh" w:date="2000-06-05T10:25:00Z">
        <w:r>
          <w:rPr/>
          <w:t>2</w:t>
        </w:r>
      </w:ins>
      <w:ins w:id="51" w:author="bwhiteh" w:date="2000-06-05T09:41:00Z">
        <w:r>
          <w:rPr/>
          <w:t xml:space="preserve">) years. </w:t>
        </w:r>
      </w:ins>
      <w:r>
        <w:br w:type="page"/>
      </w:r>
    </w:p>
    <w:p>
      <w:pPr>
        <w:pStyle w:val="BodyTextIndent2"/>
        <w:ind w:start="0" w:end="0"/>
        <w:rPr/>
      </w:pPr>
      <w:r>
        <w:rPr/>
        <w:t>In WITNESS WHEREOF, the parties hereto have caused this Agreement to be executed by their duly authorized officers as of the date first hereinabove written.</w:t>
      </w:r>
    </w:p>
    <w:p>
      <w:pPr>
        <w:pStyle w:val="Heading2"/>
        <w:keepNext w:val="true"/>
        <w:keepLines/>
        <w:widowControl/>
        <w:numPr>
          <w:ilvl w:val="0"/>
          <w:numId w:val="0"/>
        </w:numPr>
        <w:tabs>
          <w:tab w:val="clear" w:pos="720"/>
          <w:tab w:val="left" w:pos="9240" w:leader="none"/>
        </w:tabs>
        <w:spacing w:before="240" w:after="0"/>
        <w:ind w:hanging="0" w:start="4320" w:end="0"/>
        <w:rPr/>
      </w:pPr>
      <w:r>
        <w:rPr/>
        <w:t xml:space="preserve">Scudder Publishing Group </w:t>
      </w:r>
    </w:p>
    <w:p>
      <w:pPr>
        <w:pStyle w:val="Normal"/>
        <w:keepLines/>
        <w:numPr>
          <w:ilvl w:val="0"/>
          <w:numId w:val="0"/>
        </w:numPr>
        <w:tabs>
          <w:tab w:val="clear" w:pos="720"/>
          <w:tab w:val="left" w:pos="9240" w:leader="none"/>
        </w:tabs>
        <w:spacing w:before="600" w:after="0"/>
        <w:ind w:hanging="0" w:start="4320" w:end="0"/>
        <w:jc w:val="both"/>
        <w:rPr>
          <w:szCs w:val="22"/>
        </w:rPr>
      </w:pPr>
      <w:r>
        <w:rPr>
          <w:szCs w:val="22"/>
        </w:rPr>
        <w:t xml:space="preserve">By: </w:t>
      </w:r>
      <w:r>
        <w:rPr>
          <w:szCs w:val="22"/>
          <w:u w:val="single"/>
        </w:rPr>
        <w:tab/>
      </w:r>
    </w:p>
    <w:p>
      <w:pPr>
        <w:pStyle w:val="Normal"/>
        <w:numPr>
          <w:ilvl w:val="0"/>
          <w:numId w:val="0"/>
        </w:numPr>
        <w:tabs>
          <w:tab w:val="clear" w:pos="720"/>
          <w:tab w:val="left" w:pos="9240" w:leader="none"/>
        </w:tabs>
        <w:ind w:hanging="0" w:start="4320" w:end="0"/>
        <w:jc w:val="both"/>
        <w:rPr>
          <w:szCs w:val="22"/>
        </w:rPr>
      </w:pPr>
      <w:r>
        <w:rPr>
          <w:szCs w:val="22"/>
        </w:rPr>
        <w:t xml:space="preserve">Name: </w:t>
      </w:r>
      <w:r>
        <w:rPr>
          <w:szCs w:val="22"/>
          <w:u w:val="single"/>
        </w:rPr>
        <w:tab/>
      </w:r>
    </w:p>
    <w:p>
      <w:pPr>
        <w:pStyle w:val="Normal"/>
        <w:tabs>
          <w:tab w:val="clear" w:pos="720"/>
          <w:tab w:val="left" w:pos="9240" w:leader="none"/>
        </w:tabs>
        <w:ind w:start="4320" w:end="0"/>
        <w:jc w:val="both"/>
        <w:rPr>
          <w:szCs w:val="22"/>
        </w:rPr>
      </w:pPr>
      <w:r>
        <w:rPr>
          <w:szCs w:val="22"/>
        </w:rPr>
        <w:t xml:space="preserve">Title: </w:t>
      </w:r>
      <w:r>
        <w:rPr>
          <w:szCs w:val="22"/>
          <w:u w:val="single"/>
        </w:rPr>
        <w:tab/>
      </w:r>
    </w:p>
    <w:p>
      <w:pPr>
        <w:pStyle w:val="Normal"/>
        <w:numPr>
          <w:ilvl w:val="0"/>
          <w:numId w:val="0"/>
        </w:numPr>
        <w:tabs>
          <w:tab w:val="clear" w:pos="720"/>
          <w:tab w:val="left" w:pos="4320" w:leader="none"/>
          <w:tab w:val="left" w:pos="9180" w:leader="none"/>
          <w:tab w:val="right" w:pos="9360" w:leader="none"/>
        </w:tabs>
        <w:spacing w:before="360" w:after="0"/>
        <w:ind w:hanging="0" w:start="4320" w:end="0"/>
        <w:jc w:val="both"/>
        <w:rPr>
          <w:b/>
          <w:bCs/>
          <w:smallCaps/>
          <w:szCs w:val="22"/>
        </w:rPr>
      </w:pPr>
      <w:r>
        <w:rPr>
          <w:b/>
          <w:bCs/>
          <w:smallCaps/>
          <w:szCs w:val="22"/>
        </w:rPr>
        <w:t xml:space="preserve">Enron </w:t>
      </w:r>
      <w:del w:id="53" w:author="bwhiteh" w:date="2000-06-05T09:28:00Z">
        <w:r>
          <w:rPr>
            <w:b/>
            <w:bCs/>
            <w:smallCaps/>
            <w:szCs w:val="22"/>
          </w:rPr>
          <w:delText>Corp.</w:delText>
        </w:r>
      </w:del>
      <w:ins w:id="54" w:author="bwhiteh" w:date="2000-06-05T09:28:00Z">
        <w:r>
          <w:rPr>
            <w:b/>
            <w:bCs/>
            <w:smallCaps/>
            <w:szCs w:val="22"/>
          </w:rPr>
          <w:t>Net Works LLC</w:t>
        </w:r>
      </w:ins>
    </w:p>
    <w:p>
      <w:pPr>
        <w:pStyle w:val="Normal"/>
        <w:keepLines/>
        <w:numPr>
          <w:ilvl w:val="0"/>
          <w:numId w:val="0"/>
        </w:numPr>
        <w:tabs>
          <w:tab w:val="clear" w:pos="720"/>
          <w:tab w:val="left" w:pos="9240" w:leader="none"/>
        </w:tabs>
        <w:spacing w:before="600" w:after="0"/>
        <w:ind w:hanging="0" w:start="4320" w:end="0"/>
        <w:jc w:val="both"/>
        <w:rPr>
          <w:szCs w:val="22"/>
        </w:rPr>
      </w:pPr>
      <w:r>
        <w:rPr>
          <w:szCs w:val="22"/>
        </w:rPr>
        <w:t xml:space="preserve">By: </w:t>
      </w:r>
      <w:r>
        <w:rPr>
          <w:szCs w:val="22"/>
          <w:u w:val="single"/>
        </w:rPr>
        <w:tab/>
      </w:r>
    </w:p>
    <w:p>
      <w:pPr>
        <w:pStyle w:val="Normal"/>
        <w:numPr>
          <w:ilvl w:val="0"/>
          <w:numId w:val="0"/>
        </w:numPr>
        <w:tabs>
          <w:tab w:val="clear" w:pos="720"/>
          <w:tab w:val="left" w:pos="9240" w:leader="none"/>
        </w:tabs>
        <w:ind w:hanging="0" w:start="4320" w:end="0"/>
        <w:jc w:val="both"/>
        <w:rPr>
          <w:szCs w:val="22"/>
        </w:rPr>
      </w:pPr>
      <w:r>
        <w:rPr>
          <w:szCs w:val="22"/>
        </w:rPr>
        <w:t xml:space="preserve">Name: </w:t>
      </w:r>
      <w:r>
        <w:rPr>
          <w:szCs w:val="22"/>
          <w:u w:val="single"/>
        </w:rPr>
        <w:tab/>
      </w:r>
    </w:p>
    <w:p>
      <w:pPr>
        <w:pStyle w:val="Normal"/>
        <w:tabs>
          <w:tab w:val="clear" w:pos="720"/>
          <w:tab w:val="left" w:pos="9240" w:leader="none"/>
        </w:tabs>
        <w:ind w:start="4320" w:end="0"/>
        <w:jc w:val="both"/>
        <w:rPr>
          <w:szCs w:val="22"/>
        </w:rPr>
      </w:pPr>
      <w:r>
        <w:rPr>
          <w:szCs w:val="22"/>
        </w:rPr>
        <w:t xml:space="preserve">Title: </w:t>
      </w:r>
      <w:r>
        <w:rPr>
          <w:szCs w:val="22"/>
          <w:u w:val="single"/>
        </w:rPr>
        <w:tab/>
      </w:r>
    </w:p>
    <w:p>
      <w:pPr>
        <w:pStyle w:val="Normal"/>
        <w:spacing w:before="120" w:after="0"/>
        <w:jc w:val="both"/>
        <w:rPr/>
      </w:pPr>
      <w:r>
        <w:rPr/>
        <w:t>*The Bandwidth Desk is currently published monthly. The publication’s frequency may be increased to twice-monthly by an unspecified date in 2000 and SPG shall provide Enron with the additional publications in accordance with paragraph one.</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/mnt/main-storage/datasets/enron-docs/doc/Scudder_1cR.doc</w:t>
    </w:r>
    <w:r>
      <w:rPr>
        <w:sz w:val="12"/>
      </w:rPr>
      <w:fldChar w:fldCharType="end"/>
    </w:r>
  </w:p>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lvl w:ilvl="1">
      <w:start w:val="1"/>
      <w:numFmt w:val="lowerLetter"/>
      <w:lvlText w:val="(%2)"/>
      <w:lvlJc w:val="start"/>
      <w:pPr>
        <w:tabs>
          <w:tab w:val="num" w:pos="1920"/>
        </w:tabs>
        <w:ind w:start="1920" w:hanging="84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4"/>
      <w:lang w:val="en-US" w:bidi="ar-SA" w:eastAsia="zh-CN"/>
    </w:rPr>
  </w:style>
  <w:style w:type="paragraph" w:styleId="Heading1">
    <w:name w:val="heading 1"/>
    <w:basedOn w:val="Normal"/>
    <w:next w:val="Normal"/>
    <w:qFormat/>
    <w:pPr>
      <w:keepNext w:val="true"/>
      <w:numPr>
        <w:ilvl w:val="0"/>
        <w:numId w:val="1"/>
      </w:numPr>
      <w:spacing w:before="120" w:after="0"/>
      <w:jc w:val="center"/>
      <w:outlineLvl w:val="0"/>
    </w:pPr>
    <w:rPr>
      <w:b/>
      <w:bCs/>
    </w:rPr>
  </w:style>
  <w:style w:type="paragraph" w:styleId="Heading2">
    <w:name w:val="heading 2"/>
    <w:basedOn w:val="Normal"/>
    <w:next w:val="Normal"/>
    <w:qFormat/>
    <w:pPr>
      <w:widowControl w:val="false"/>
      <w:numPr>
        <w:ilvl w:val="1"/>
        <w:numId w:val="1"/>
      </w:numPr>
      <w:autoSpaceDE w:val="false"/>
      <w:spacing w:before="360" w:after="0"/>
      <w:jc w:val="both"/>
      <w:outlineLvl w:val="1"/>
    </w:pPr>
    <w:rPr>
      <w:b/>
      <w:bCs/>
      <w:smallCaps/>
      <w:szCs w:val="22"/>
    </w:rPr>
  </w:style>
  <w:style w:type="paragraph" w:styleId="Heading3">
    <w:name w:val="heading 3"/>
    <w:basedOn w:val="Normal"/>
    <w:next w:val="Normal"/>
    <w:qFormat/>
    <w:pPr>
      <w:widowControl w:val="false"/>
      <w:numPr>
        <w:ilvl w:val="2"/>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autoSpaceDE w:val="false"/>
      <w:ind w:hanging="0" w:start="720" w:end="0"/>
      <w:jc w:val="both"/>
      <w:outlineLvl w:val="2"/>
    </w:pPr>
    <w:rPr>
      <w:szCs w:val="22"/>
    </w:rPr>
  </w:style>
  <w:style w:type="character" w:styleId="WW8Num1z1">
    <w:name w:val="WW8Num1z1"/>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mallCaps/>
    </w:rPr>
  </w:style>
  <w:style w:type="paragraph" w:styleId="BodyText">
    <w:name w:val="Body Text"/>
    <w:basedOn w:val="Normal"/>
    <w:pPr>
      <w:spacing w:before="120" w:after="0"/>
      <w:jc w:val="both"/>
    </w:pPr>
    <w:rPr>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120" w:after="0"/>
      <w:ind w:hanging="0" w:start="720" w:end="0"/>
      <w:jc w:val="both"/>
    </w:pPr>
    <w:rPr>
      <w:szCs w:val="22"/>
    </w:rPr>
  </w:style>
  <w:style w:type="paragraph" w:styleId="BodyTextIndent2">
    <w:name w:val="Body Text Indent 2"/>
    <w:basedOn w:val="Normal"/>
    <w:qFormat/>
    <w:pPr>
      <w:spacing w:before="120" w:after="0"/>
      <w:ind w:hanging="0" w:start="-120" w:end="0"/>
      <w:jc w:val="both"/>
    </w:pPr>
    <w:rPr>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2000-06-05T11:37:00Z</dcterms:created>
  <dc:creator>bwhiteh</dc:creator>
  <dc:description/>
  <dc:language>en-CA</dc:language>
  <cp:lastModifiedBy>bwhiteh</cp:lastModifiedBy>
  <cp:lastPrinted>2000-06-05T10:27:00Z</cp:lastPrinted>
  <dcterms:modified xsi:type="dcterms:W3CDTF">2000-06-05T12:57:00Z</dcterms:modified>
  <cp:revision>4</cp:revision>
  <dc:subject/>
  <dc:title>EXCHANGE SITE LICENSE AGREEMENT</dc:title>
</cp:coreProperties>
</file>