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rPr>
              <w:t>Susan Scott</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sz w:val="18"/>
              </w:rPr>
              <w:t>Drew Fossum</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rPr>
              <w:t>ETS Law</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sz w:val="18"/>
              </w:rPr>
              <w:t>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JOBGROUP"/>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Sr. Counsel II</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HIREDATE"/>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DATEPOS"/>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243" w:hRule="exact"/>
        </w:trPr>
        <w:tc>
          <w:tcPr>
            <w:tcW w:w="1458" w:type="dxa"/>
            <w:tcBorders/>
          </w:tcPr>
          <w:p>
            <w:pPr>
              <w:pStyle w:val="Normal"/>
              <w:snapToGrid w:val="false"/>
              <w:ind w:end="-108"/>
              <w:jc w:val="end"/>
              <w:rPr>
                <w:rFonts w:ascii="Arial" w:hAnsi="Arial" w:cs="Arial"/>
                <w:b/>
                <w:sz w:val="18"/>
              </w:rPr>
            </w:pPr>
            <w:r>
              <w:rPr>
                <w:rFonts w:cs="Arial" w:ascii="Arial" w:hAnsi="Arial"/>
                <w:b/>
                <w:sz w:val="18"/>
              </w:rPr>
            </w:r>
          </w:p>
        </w:tc>
        <w:tc>
          <w:tcPr>
            <w:tcW w:w="4050" w:type="dxa"/>
            <w:tcBorders/>
          </w:tcPr>
          <w:p>
            <w:pPr>
              <w:pStyle w:val="Normal"/>
              <w:tabs>
                <w:tab w:val="clear" w:pos="720"/>
                <w:tab w:val="left" w:pos="270" w:leader="none"/>
                <w:tab w:val="left" w:pos="1620" w:leader="none"/>
                <w:tab w:val="left" w:pos="5580" w:leader="none"/>
              </w:tabs>
              <w:snapToGrid w:val="false"/>
              <w:rPr>
                <w:rFonts w:ascii="Arial" w:hAnsi="Arial" w:cs="Arial"/>
                <w:b/>
                <w:sz w:val="18"/>
                <w:shd w:fill="FFFFFF" w:val="clear"/>
              </w:rPr>
            </w:pPr>
            <w:r>
              <w:rPr>
                <w:rFonts w:cs="Arial" w:ascii="Arial" w:hAnsi="Arial"/>
                <w:b/>
                <w:sz w:val="18"/>
                <w:shd w:fill="FFFFFF" w:val="clear"/>
              </w:rPr>
            </w:r>
          </w:p>
        </w:tc>
        <w:tc>
          <w:tcPr>
            <w:tcW w:w="2160" w:type="dxa"/>
            <w:gridSpan w:val="2"/>
            <w:tcBorders/>
          </w:tcPr>
          <w:p>
            <w:pPr>
              <w:pStyle w:val="Normal"/>
              <w:tabs>
                <w:tab w:val="clear" w:pos="720"/>
                <w:tab w:val="left" w:pos="5580" w:leader="none"/>
              </w:tabs>
              <w:snapToGrid w:val="false"/>
              <w:ind w:end="-108"/>
              <w:jc w:val="end"/>
              <w:rPr>
                <w:rFonts w:ascii="Arial" w:hAnsi="Arial" w:cs="Arial"/>
                <w:b/>
                <w:sz w:val="18"/>
                <w:shd w:fill="FFFFFF" w:val="clear"/>
              </w:rPr>
            </w:pPr>
            <w:r>
              <w:rPr>
                <w:rFonts w:cs="Arial" w:ascii="Arial" w:hAnsi="Arial"/>
                <w:b/>
                <w:sz w:val="18"/>
                <w:shd w:fill="FFFFFF" w:val="clear"/>
              </w:rPr>
            </w:r>
          </w:p>
        </w:tc>
        <w:tc>
          <w:tcPr>
            <w:tcW w:w="3312" w:type="dxa"/>
            <w:tcBorders/>
          </w:tcPr>
          <w:p>
            <w:pPr>
              <w:pStyle w:val="Normal"/>
              <w:tabs>
                <w:tab w:val="clear" w:pos="720"/>
                <w:tab w:val="left" w:pos="270" w:leader="none"/>
                <w:tab w:val="left" w:pos="1620" w:leader="none"/>
                <w:tab w:val="left" w:pos="5580" w:leader="none"/>
              </w:tabs>
              <w:snapToGrid w:val="false"/>
              <w:rPr>
                <w:rFonts w:ascii="Arial" w:hAnsi="Arial" w:cs="Arial"/>
                <w:b/>
                <w:sz w:val="18"/>
                <w:shd w:fill="FFFFFF" w:val="clear"/>
              </w:rPr>
            </w:pPr>
            <w:r>
              <w:rPr>
                <w:rFonts w:cs="Arial" w:ascii="Arial" w:hAnsi="Arial"/>
                <w:b/>
                <w:sz w:val="18"/>
                <w:shd w:fill="FFFFFF" w:val="clear"/>
              </w:rPr>
            </w:r>
          </w:p>
        </w:tc>
      </w:tr>
      <w:tr>
        <w:trPr>
          <w:trHeight w:val="243" w:hRule="exact"/>
        </w:trPr>
        <w:tc>
          <w:tcPr>
            <w:tcW w:w="1458" w:type="dxa"/>
            <w:tcBorders/>
          </w:tcPr>
          <w:p>
            <w:pPr>
              <w:pStyle w:val="Normal"/>
              <w:snapToGrid w:val="false"/>
              <w:ind w:end="-108"/>
              <w:jc w:val="end"/>
              <w:rPr>
                <w:rFonts w:ascii="Arial" w:hAnsi="Arial" w:cs="Arial"/>
                <w:b/>
                <w:sz w:val="18"/>
                <w:shd w:fill="FFFFFF" w:val="clear"/>
              </w:rPr>
            </w:pPr>
            <w:r>
              <w:rPr>
                <w:rFonts w:cs="Arial" w:ascii="Arial" w:hAnsi="Arial"/>
                <w:b/>
                <w:sz w:val="18"/>
                <w:shd w:fill="FFFFFF" w:val="clear"/>
              </w:rPr>
            </w:r>
          </w:p>
        </w:tc>
        <w:tc>
          <w:tcPr>
            <w:tcW w:w="4050" w:type="dxa"/>
            <w:tcBorders/>
          </w:tcPr>
          <w:p>
            <w:pPr>
              <w:pStyle w:val="Normal"/>
              <w:tabs>
                <w:tab w:val="clear" w:pos="720"/>
                <w:tab w:val="left" w:pos="270" w:leader="none"/>
                <w:tab w:val="left" w:pos="1620" w:leader="none"/>
                <w:tab w:val="left" w:pos="5580" w:leader="none"/>
              </w:tabs>
              <w:snapToGrid w:val="false"/>
              <w:rPr>
                <w:rFonts w:ascii="Arial" w:hAnsi="Arial" w:cs="Arial"/>
                <w:b/>
                <w:sz w:val="18"/>
                <w:shd w:fill="FFFFFF" w:val="clear"/>
              </w:rPr>
            </w:pPr>
            <w:r>
              <w:rPr>
                <w:rFonts w:cs="Arial" w:ascii="Arial" w:hAnsi="Arial"/>
                <w:b/>
                <w:sz w:val="18"/>
                <w:shd w:fill="FFFFFF" w:val="clear"/>
              </w:rPr>
            </w:r>
          </w:p>
        </w:tc>
        <w:tc>
          <w:tcPr>
            <w:tcW w:w="2160" w:type="dxa"/>
            <w:gridSpan w:val="2"/>
            <w:tcBorders/>
          </w:tcPr>
          <w:p>
            <w:pPr>
              <w:pStyle w:val="Normal"/>
              <w:tabs>
                <w:tab w:val="clear" w:pos="720"/>
                <w:tab w:val="left" w:pos="5580" w:leader="none"/>
              </w:tabs>
              <w:snapToGrid w:val="false"/>
              <w:ind w:end="-108"/>
              <w:jc w:val="end"/>
              <w:rPr>
                <w:rFonts w:ascii="Arial" w:hAnsi="Arial" w:cs="Arial"/>
                <w:b/>
                <w:sz w:val="18"/>
                <w:shd w:fill="FFFFFF" w:val="clear"/>
              </w:rPr>
            </w:pPr>
            <w:r>
              <w:rPr>
                <w:rFonts w:cs="Arial" w:ascii="Arial" w:hAnsi="Arial"/>
                <w:b/>
                <w:sz w:val="18"/>
                <w:shd w:fill="FFFFFF" w:val="clear"/>
              </w:rPr>
            </w:r>
          </w:p>
        </w:tc>
        <w:tc>
          <w:tcPr>
            <w:tcW w:w="3312" w:type="dxa"/>
            <w:tcBorders/>
          </w:tcPr>
          <w:p>
            <w:pPr>
              <w:pStyle w:val="Normal"/>
              <w:tabs>
                <w:tab w:val="clear" w:pos="720"/>
                <w:tab w:val="left" w:pos="270" w:leader="none"/>
                <w:tab w:val="left" w:pos="1620" w:leader="none"/>
                <w:tab w:val="left" w:pos="5580" w:leader="none"/>
              </w:tabs>
              <w:snapToGrid w:val="false"/>
              <w:rPr>
                <w:rFonts w:ascii="Arial" w:hAnsi="Arial" w:cs="Arial"/>
                <w:b/>
                <w:sz w:val="18"/>
                <w:shd w:fill="FFFFFF" w:val="clear"/>
              </w:rPr>
            </w:pPr>
            <w:r>
              <w:rPr>
                <w:rFonts w:cs="Arial" w:ascii="Arial" w:hAnsi="Arial"/>
                <w:b/>
                <w:sz w:val="18"/>
                <w:shd w:fill="FFFFFF" w:val="clear"/>
              </w:rPr>
            </w:r>
          </w:p>
        </w:tc>
      </w:tr>
      <w:tr>
        <w:trPr>
          <w:trHeight w:val="243" w:hRule="exact"/>
        </w:trPr>
        <w:tc>
          <w:tcPr>
            <w:tcW w:w="1458" w:type="dxa"/>
            <w:tcBorders/>
          </w:tcPr>
          <w:p>
            <w:pPr>
              <w:pStyle w:val="Normal"/>
              <w:snapToGrid w:val="false"/>
              <w:ind w:end="-108"/>
              <w:jc w:val="end"/>
              <w:rPr>
                <w:rFonts w:ascii="Arial" w:hAnsi="Arial" w:cs="Arial"/>
                <w:b/>
                <w:sz w:val="18"/>
                <w:shd w:fill="FFFFFF" w:val="clear"/>
              </w:rPr>
            </w:pPr>
            <w:r>
              <w:rPr>
                <w:rFonts w:cs="Arial" w:ascii="Arial" w:hAnsi="Arial"/>
                <w:b/>
                <w:sz w:val="18"/>
                <w:shd w:fill="FFFFFF" w:val="clear"/>
              </w:rPr>
            </w:r>
          </w:p>
        </w:tc>
        <w:tc>
          <w:tcPr>
            <w:tcW w:w="4050" w:type="dxa"/>
            <w:tcBorders/>
          </w:tcPr>
          <w:p>
            <w:pPr>
              <w:pStyle w:val="Normal"/>
              <w:tabs>
                <w:tab w:val="clear" w:pos="720"/>
                <w:tab w:val="left" w:pos="270" w:leader="none"/>
                <w:tab w:val="left" w:pos="1620" w:leader="none"/>
                <w:tab w:val="left" w:pos="5580" w:leader="none"/>
              </w:tabs>
              <w:snapToGrid w:val="false"/>
              <w:rPr>
                <w:rFonts w:ascii="Arial" w:hAnsi="Arial" w:cs="Arial"/>
                <w:b/>
                <w:sz w:val="18"/>
                <w:shd w:fill="FFFFFF" w:val="clear"/>
              </w:rPr>
            </w:pPr>
            <w:r>
              <w:rPr>
                <w:rFonts w:cs="Arial" w:ascii="Arial" w:hAnsi="Arial"/>
                <w:b/>
                <w:sz w:val="18"/>
                <w:shd w:fill="FFFFFF" w:val="clear"/>
              </w:rPr>
            </w:r>
          </w:p>
        </w:tc>
        <w:tc>
          <w:tcPr>
            <w:tcW w:w="2160" w:type="dxa"/>
            <w:gridSpan w:val="2"/>
            <w:tcBorders/>
          </w:tcPr>
          <w:p>
            <w:pPr>
              <w:pStyle w:val="Normal"/>
              <w:tabs>
                <w:tab w:val="clear" w:pos="720"/>
                <w:tab w:val="left" w:pos="5580" w:leader="none"/>
              </w:tabs>
              <w:snapToGrid w:val="false"/>
              <w:ind w:end="-108"/>
              <w:jc w:val="end"/>
              <w:rPr>
                <w:rFonts w:ascii="Arial" w:hAnsi="Arial" w:cs="Arial"/>
                <w:b/>
                <w:sz w:val="18"/>
                <w:shd w:fill="FFFFFF" w:val="clear"/>
              </w:rPr>
            </w:pPr>
            <w:r>
              <w:rPr>
                <w:rFonts w:cs="Arial" w:ascii="Arial" w:hAnsi="Arial"/>
                <w:b/>
                <w:sz w:val="18"/>
                <w:shd w:fill="FFFFFF" w:val="clear"/>
              </w:rPr>
            </w:r>
          </w:p>
        </w:tc>
        <w:tc>
          <w:tcPr>
            <w:tcW w:w="3312" w:type="dxa"/>
            <w:tcBorders/>
          </w:tcPr>
          <w:p>
            <w:pPr>
              <w:pStyle w:val="Normal"/>
              <w:tabs>
                <w:tab w:val="clear" w:pos="720"/>
                <w:tab w:val="left" w:pos="270" w:leader="none"/>
                <w:tab w:val="left" w:pos="1620" w:leader="none"/>
                <w:tab w:val="left" w:pos="5580" w:leader="none"/>
              </w:tabs>
              <w:snapToGrid w:val="false"/>
              <w:rPr>
                <w:rFonts w:ascii="Arial" w:hAnsi="Arial" w:cs="Arial"/>
                <w:b/>
                <w:sz w:val="18"/>
                <w:shd w:fill="FFFFFF" w:val="clear"/>
              </w:rPr>
            </w:pPr>
            <w:r>
              <w:rPr>
                <w:rFonts w:cs="Arial" w:ascii="Arial" w:hAnsi="Arial"/>
                <w:b/>
                <w:sz w:val="18"/>
                <w:shd w:fill="FFFFFF" w:val="clear"/>
              </w:rPr>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  2</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Susan is a creative lawyer and is receptive to new ideas and perspectives.  She consistently takes ownership of the projects she is assigned and drives them forward aggressively.</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  4</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Communication, teamwork and maintaining an appropriate relationship with her clients are the major focus for improvement this review period.  Susan needs to consistently communicate to the appropriate individuals on all projects.  Susan has exhibited “lone ranger” syndrome and relied too heavily on her own judgment or research when other valuable resources were available.  She needs to remain aware of her role and maintain the proper balance between satisfying her clients’ requests and serving her role as “eyes and ears” of the legal and regulatory departments.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  4</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See above comment.  Susan must consistently take advantage of all resources at her disposal to assure that her clients have access to the best and most complete advice and analysis available.  Susan must continue to work on developing relationships and strengthening teams.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  3</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Susan has a great work ethic and outstanding sense of urgency.  She needs to continue working on teamwork and collegiality, but overall is a consistent adherent to Enron’s visions and values.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  2</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Excellent.  Susan has solid commercial judgment and has developed a very good understanding of Transwestern’s business.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  3</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Susan has solid legal skills but needs to continue developing expertise on TW’s tariff and the regulatory regime applicable to TW.  In particular, Susan has demonstrated incomplete understanding of FERC posting and bidding rules.  Susan has shown inconsistent judgment as to whether she really understands an issue well enough to provide guidance to her clients on a subject without first seeking guidance from others.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Pr>
                <w:b/>
                <w:shd w:fill="FFFFFF" w:val="clear"/>
              </w:rPr>
            </w:r>
            <w:r>
              <w:rPr>
                <w:b/>
                <w:shd w:fill="FFFFFF" w:val="clear"/>
              </w:rPr>
              <w:fldChar w:fldCharType="end"/>
            </w:r>
            <w:r>
              <w:rPr>
                <w:b/>
                <w:shd w:fill="FFFFFF" w:val="clear"/>
              </w:rPr>
              <w:t>:  3</w:t>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rPr>
                <w:rFonts w:cs="Arial" w:ascii="Arial" w:hAnsi="Arial"/>
              </w:rPr>
              <w:t xml:space="preserve">Susan is a very valuable member of the ETS legal team.  Her work ethic and energy level are a credit to the department.  She needs to continue developing her skills and strengthening her expertise in order to move to the next level.   </w:t>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Frequent direct contact with Susan and her substantive work product.</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Work ethic, sense of urgency in pushing projects forward, excellent relationship with clients.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See below.</w:t>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1.  Continue to develop expertise on TW tariff and FERC regulatory structure.  2.  Show better judgment on when to seek help from others—avoid  “lone ranger” syndrome.  3.  Strengthen relationships beyond TW commercial group.</w:t>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See above.</w:t>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rPr>
      </w:pPr>
      <w:r>
        <w:rPr>
          <w:rFonts w:cs="Arial" w:ascii="Arial" w:hAnsi="Arial"/>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650240"/>
                <wp:effectExtent l="0" t="0" r="0" b="0"/>
                <wp:wrapNone/>
                <wp:docPr id="4" name="Frame2"/>
                <a:graphic xmlns:a="http://schemas.openxmlformats.org/drawingml/2006/main">
                  <a:graphicData uri="http://schemas.microsoft.com/office/word/2010/wordprocessingShape">
                    <wps:wsp>
                      <wps:cNvSpPr txBox="1"/>
                      <wps:spPr>
                        <a:xfrm>
                          <a:off x="0" y="0"/>
                          <a:ext cx="3940810" cy="650240"/>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51.2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2001-01-20T14:47:00Z</dcterms:created>
  <dc:creator>Performance Management</dc:creator>
  <dc:description/>
  <dc:language>en-CA</dc:language>
  <cp:lastModifiedBy>dfossum</cp:lastModifiedBy>
  <cp:lastPrinted>2000-10-31T11:18:00Z</cp:lastPrinted>
  <dcterms:modified xsi:type="dcterms:W3CDTF">2001-01-25T11:54:00Z</dcterms:modified>
  <cp:revision>5</cp:revision>
  <dc:subject/>
  <dc:title> </dc:title>
</cp:coreProperties>
</file>