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end"/>
        <w:rPr>
          <w:rFonts w:ascii="Times New Roman" w:hAnsi="Times New Roman" w:cs="Times New Roman"/>
          <w:b/>
          <w:sz w:val="30"/>
        </w:rPr>
      </w:pPr>
      <w:r>
        <w:rPr>
          <w:rFonts w:cs="Times New Roman" w:ascii="Times New Roman" w:hAnsi="Times New Roman"/>
          <w:b/>
          <w:sz w:val="30"/>
        </w:rPr>
        <w:t>Exhibit SOC-4</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Direct Testimony of Stephen J. Sciortino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Anaheim, California Regarding Purchased Power Costs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sectPr>
          <w:footerReference w:type="default" r:id="rId2"/>
          <w:footerReference w:type="first" r:id="rId3"/>
          <w:type w:val="nextPage"/>
          <w:pgSz w:w="12240" w:h="15840"/>
          <w:pgMar w:left="1440" w:right="1440" w:gutter="0" w:header="0" w:top="1440" w:footer="864" w:bottom="1440"/>
          <w:lnNumType w:countBy="1" w:restart="newPage" w:distance="283"/>
          <w:pgNumType w:fmt="decimal"/>
          <w:formProt w:val="false"/>
          <w:titlePg/>
          <w:textDirection w:val="lrTb"/>
          <w:docGrid w:type="default" w:linePitch="360" w:charSpace="0"/>
        </w:sectPr>
      </w:pP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w:t>
        <w:tab/>
        <w:t>Please state your full name and business address for the record.</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A1:</w:t>
        <w:tab/>
        <w:t>My name is Stephen J. Sciortino.  My business address is 201 South Anaheim Boulevard, Anaheim, California 92805.</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Q2:</w:t>
        <w:tab/>
        <w:t>Please describe your educational and employment background as it pertains to the utility industry.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A2:</w:t>
        <w:tab/>
        <w:t>My current position is Integrated Resources Manager for the Public Utilities Department of the City of Anaheim.  I have held this position for the past two years.  I am responsible for all wholesale transactions, energy scheduling, load forecasting, natural gas purchasing, long-term contract administration and resource planning activities for the Department.  The activities under my oversight include scheduling activities with the California Independent System Operator Corporation (“ISO”) and, during its existence, the California Power Exchange Corporation (“PX”).</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spacing w:lineRule="auto" w:line="480"/>
        <w:ind w:start="720" w:end="0"/>
        <w:rPr>
          <w:rFonts w:ascii="Times New Roman" w:hAnsi="Times New Roman" w:cs="Times New Roman"/>
          <w:sz w:val="24"/>
        </w:rPr>
      </w:pPr>
      <w:r>
        <w:rPr>
          <w:rFonts w:cs="Times New Roman" w:ascii="Times New Roman" w:hAnsi="Times New Roman"/>
          <w:sz w:val="24"/>
        </w:rPr>
        <w:t>Prior to my current position I was the Supervisor of Energy Operations for the City of Riverside’s Public Utilities Department, where my responsibilities included oversight of all pre-scheduling and real-time energy trading activities, including transactions with the ISO and PX.</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b/>
        <w:t xml:space="preserve">From 1993 through 1998, I held several positions within the Southern California Edison Company, primarily in System Operations.  Prior to deregulation, I was responsible for the Fuel and Purchase Power Budget development and filed testimony under Edison’s ECAC proceedings.  In my last two years with Edison, I was the Manager for Energy Operations and was responsible for generation commitment and dispatching, wholesale transaction activities, gas purchasing and scheduling for the entire Company.  Prior to the implementation of the ISO and PX, I was responsible for setting up the infrastructure for Edison to interact with both agencies, including all scheduling and bidding activities when the agencies became activated.  </w:t>
      </w:r>
    </w:p>
    <w:p>
      <w:pPr>
        <w:pStyle w:val="Normal"/>
        <w:spacing w:lineRule="auto" w:line="480"/>
        <w:rPr>
          <w:rFonts w:ascii="Times New Roman" w:hAnsi="Times New Roman" w:cs="Times New Roman"/>
          <w:sz w:val="24"/>
        </w:rPr>
      </w:pPr>
      <w:r>
        <w:rPr>
          <w:rFonts w:cs="Times New Roman" w:ascii="Times New Roman" w:hAnsi="Times New Roman"/>
          <w:sz w:val="24"/>
        </w:rPr>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b/>
        <w:t>From 1987 through 1992, I held several positions within the Southern California Gas Company, where my responsibilities included development of short- and long-term forecasting of gas demand from electric utilities within the Company’s jurisdiction, as well as cogeneration and enhanced oil recovery customers.  As a supervisor in Demand Forecasting, I filed testimony for the ACAP and BCAP proceedings for the Company and developed policies related to Electric Utility Generation (UEG) long-term planning proceedings, environmental regulatory impacts on gas-fired generation and contract development between the Gas Company and its UEG customers.</w:t>
      </w:r>
    </w:p>
    <w:p>
      <w:pPr>
        <w:pStyle w:val="Normal"/>
        <w:spacing w:lineRule="auto" w:line="48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spacing w:lineRule="auto" w:line="480"/>
        <w:ind w:start="720" w:end="0"/>
        <w:rPr>
          <w:rFonts w:ascii="Times New Roman" w:hAnsi="Times New Roman" w:cs="Times New Roman"/>
          <w:sz w:val="24"/>
        </w:rPr>
      </w:pPr>
      <w:r>
        <w:rPr>
          <w:rFonts w:cs="Times New Roman" w:ascii="Times New Roman" w:hAnsi="Times New Roman"/>
          <w:sz w:val="24"/>
        </w:rPr>
        <w:t xml:space="preserve">I have Bachelors and Master of Arts degrees in Economics and have been involved in energy-related activities since 1979. </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Q3:</w:t>
        <w:tab/>
        <w:t>Please describe the Anaheim electric system.</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A3:</w:t>
        <w:tab/>
        <w:t>Anaheim’s electric system is a non-profit, municipally-owned electric system formed for the purpose of providing electricity to our citizens and customers in the City of Anaheim, California.  The Anaheim City Council establishes the rates for our retail customers.  Anaheim does not file any of its rates or wholesale contracts with the Federal Energy Regulatory Commission.</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For many years Anaheim has taken responsibility for acquiring the power and energy resources required to meet the needs of the customers we serve.  Anaheim seeks to maintain a balanced portfolio of long-term resources and short-term purchases in order to meet the needs of our customers reliably and at the lowest possible cost.  For our short-term purchases, we have been exposed to the same volatile prices as other purchasers of short-term energy have experienced.  Anaheim does not acquire resources for the purpose of re-selling them to other entities, but we do sell energy that turns out to be in excess of our customers’ needs.  In making such sales, we seek to recover our costs for the energy sold in order to reduce overall costs to our native load customers.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Q4:</w:t>
        <w:tab/>
        <w:t>What is the purpose of your testimony?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A4:</w:t>
        <w:tab/>
        <w:t>This Exhibit SOC-4 summarizes the purchased power costs that Anaheim would not recover if it is required to refund all amounts by which the prices for Anaheim’s spot market sales to the California Independent System Operator Corporation (“ISO”) and the California Power Exchange Corporation (“PX”) exceeded the Mitigated Market Clearing Price (“MMCP”) as calculated by the ISO.  In addition, I summarize the extent to which Anaheim’s marginal resource costs for periods during which it was selling marginal energy to the ISO or PX exceeded the prices Anaheim received for those sales.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Q5:</w:t>
        <w:tab/>
        <w:t>Please describe the purpose of your calculations relating to Anaheim’s purchased power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A5:</w:t>
        <w:tab/>
        <w:t xml:space="preserve">I am advised by legal counsel that even if (contrary to Anaheim’s view) the Commission has the jurisdiction over Anaheim’s sales of energy to require Anaheim to make refunds for sales at prices in excess of just and reasonable rates, Anaheim is entitled at a bare minimum to recover its costs for energy sold.  For example, if for a given hour, Anaheim sold energy to the ISO or PX at a price of $150/ Mwh and the revised market clearing price for that hour is determined to be $100/Mwh, it would be unfair and (according to Anaheim’s counsel) unlawful to require Anaheim to refund $50/Mwh if Anaheim’s marginal resource in that hour was purchased at a cost of $200/Mwh.  </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Q6:</w:t>
        <w:tab/>
        <w:t>Please describe your methodology for calculating Anaheim’s marginal resource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A6:</w:t>
        <w:tab/>
        <w:t>Our marginal resource cost is a weighted average of real-time purchases, day-ahead purchases, balance of the month and monthly purchases, peaking generation, and long-term market rate purchase contracts.  We have calculated our marginal resource cost on an hourly basis from October 2, 2000 to June 20, 2001.</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Q7:</w:t>
        <w:tab/>
        <w:t>Please describe your methodology for comparing Anaheim’s marginal resource costs with the market clearing price.</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A7:</w:t>
        <w:tab/>
        <w:t>I reviewed hourly data for Anaheim’s sales to the ISO or PX during the period from October 2, 2000 to June 20, 2001.  For those transactions in which the city’s sale price was higher than the MMCP as calculated by the ISO, I also compared the sale price to the city’s marginal resource cost during the same hour.</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Q8:</w:t>
        <w:tab/>
        <w:t>What were the results of your comparisons?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A8:</w:t>
        <w:tab/>
        <w:t>Overall, of the sales above the revised market clearing price, approximately 12% were made at prices lower than Anaheim’s marginal resource costs.  For these sales, Anaheim would incur a loss if limited to the MMCP as calculated by the ISO.  Anaheim would fail to recover approximately $7.4 million in costs if it is required to refund all revenues received from the ISO and PX in excess of the MMCPs as calculated by the ISO.</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Q9:</w:t>
        <w:tab/>
        <w:t>Did Anaheim recover all of its purchased power costs during the refund period under the prices at which it sold energy to the ISO and PX?</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A9:</w:t>
        <w:tab/>
        <w:t>No, we did not.  Even under the actual prices at which Anaheim sold energy to the ISO and PX, Anaheim underrecovered with respect to its purchased power costs during the same period by approximately $5.8 million.</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Q10:</w:t>
        <w:tab/>
        <w:t>Does this complete your prepared testimony on this subject?</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A10:</w:t>
        <w:tab/>
        <w:t>Yes, it does.</w:t>
      </w:r>
    </w:p>
    <w:p>
      <w:pPr>
        <w:pStyle w:val="Normal"/>
        <w:tabs>
          <w:tab w:val="left" w:pos="720" w:leader="none"/>
          <w:tab w:val="left" w:pos="1440" w:leader="none"/>
        </w:tabs>
        <w:spacing w:lineRule="auto" w:line="480"/>
        <w:rPr>
          <w:rFonts w:ascii="Times New Roman" w:hAnsi="Times New Roman" w:cs="Times New Roman"/>
          <w:b/>
          <w:sz w:val="24"/>
        </w:rPr>
      </w:pPr>
      <w:r>
        <w:rPr>
          <w:rFonts w:cs="Times New Roman" w:ascii="Times New Roman" w:hAnsi="Times New Roman"/>
          <w:b/>
          <w:sz w:val="24"/>
        </w:rPr>
        <w:t>[THE NEXT PAGE IS THE SIGNATURE PAGE]</w:t>
      </w:r>
    </w:p>
    <w:p>
      <w:pPr>
        <w:pStyle w:val="Normal"/>
        <w:rPr>
          <w:rFonts w:ascii="Times New Roman" w:hAnsi="Times New Roman" w:cs="Times New Roman"/>
          <w:b/>
          <w:sz w:val="24"/>
        </w:rPr>
      </w:pPr>
      <w:r>
        <w:rPr>
          <w:rFonts w:cs="Times New Roman" w:ascii="Times New Roman" w:hAnsi="Times New Roman"/>
          <w:b/>
          <w:sz w:val="24"/>
        </w:rPr>
      </w:r>
    </w:p>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sz w:val="16"/>
        <w:lang w:eastAsia="en-US"/>
      </w:rPr>
      <w:t>1709839</w:t>
    </w: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1709839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2001-11-06T18:12:00Z</dcterms:created>
  <dc:creator>Thompson Coburn</dc:creator>
  <dc:description/>
  <dc:language>en-CA</dc:language>
  <cp:lastModifiedBy>Thompson Coburn</cp:lastModifiedBy>
  <cp:lastPrinted>2001-11-06T15:36:00Z</cp:lastPrinted>
  <dcterms:modified xsi:type="dcterms:W3CDTF">2001-11-06T19:29:00Z</dcterms:modified>
  <cp:revision>3</cp:revision>
  <dc:subject/>
  <dc:title>Dockets Nos</dc:title>
</cp:coreProperties>
</file>