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xlsx" ContentType="application/vnd.openxmlformats-officedocument.spreadsheetml.sheet"/>
  <Override PartName="/word/embeddings/oleObject3.xlsx" ContentType="application/vnd.openxmlformats-officedocument.spreadsheetml.sheet"/>
  <Override PartName="/word/media/image1.wmf" ContentType="image/x-wmf"/>
  <Override PartName="/word/media/image2.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rPr/>
      </w:pPr>
      <w:r>
        <w:rPr>
          <w:rStyle w:val="LineNumber"/>
          <w:u w:val="none"/>
        </w:rPr>
        <w:t>DIRECT TESTIMONY OF MICHAEL M. SCHNEIDER</w:t>
      </w:r>
    </w:p>
    <w:p>
      <w:pPr>
        <w:pStyle w:val="Heading"/>
        <w:spacing w:lineRule="auto" w:line="360"/>
        <w:rPr>
          <w:rStyle w:val="LineNumber"/>
          <w:u w:val="none"/>
        </w:rPr>
      </w:pPr>
      <w:r>
        <w:rPr/>
      </w:r>
    </w:p>
    <w:p>
      <w:pPr>
        <w:pStyle w:val="BodyText2"/>
        <w:rPr/>
      </w:pPr>
      <w:r>
        <w:rPr>
          <w:rStyle w:val="LineNumber"/>
        </w:rPr>
        <w:t xml:space="preserve">I am the Director of Business Analysis for San Diego Gas &amp; Electric Company (SDG&amp;E).  In this capacity, I am responsible for overseeing pricing, forecasting, strategic planning and business assessment for SDG&amp;E.  The purpose of my testimony is to (1) propose a ratemaking methodology to reduce the forecast $1.45 billion undercollection that will accrue by the end of 2003 under the AB 265 rate cap; and (2) present rate tables and tariff changes necessary to implement these ratemaking solutions. </w:t>
      </w:r>
    </w:p>
    <w:p>
      <w:pPr>
        <w:pStyle w:val="BodyText2"/>
        <w:rPr/>
      </w:pPr>
      <w:r>
        <w:rPr>
          <w:rStyle w:val="LineNumber"/>
        </w:rPr>
        <w:t>Based on the energy price forecast presented in the testimony of Wayne Sakarias and projections of SDG&amp;E customer demand, SDG&amp;E forecasts the net undercollection</w:t>
      </w:r>
      <w:r>
        <w:rPr>
          <w:rStyle w:val="LineNumber"/>
          <w:rStyle w:val="FootnoteReference"/>
          <w:vertAlign w:val="superscript"/>
        </w:rPr>
        <w:footnoteReference w:id="2"/>
      </w:r>
      <w:r>
        <w:rPr>
          <w:rStyle w:val="LineNumber"/>
        </w:rPr>
        <w:t xml:space="preserve"> due to the AB 265 rate ceiling will be as follows over the next three years:</w:t>
      </w:r>
    </w:p>
    <w:p>
      <w:pPr>
        <w:pStyle w:val="BodyTextIndent3"/>
        <w:tabs>
          <w:tab w:val="clear" w:pos="360"/>
          <w:tab w:val="left" w:pos="0" w:leader="none"/>
        </w:tabs>
        <w:spacing w:lineRule="auto" w:line="240"/>
        <w:ind w:hanging="0" w:start="0" w:end="0"/>
        <w:jc w:val="center"/>
        <w:rPr/>
      </w:pPr>
      <w:r>
        <w:rPr>
          <w:rStyle w:val="LineNumber"/>
          <w:b/>
        </w:rPr>
        <w:t>Table 1:  Projected Net Undercollections-Excluding PECA</w:t>
      </w:r>
    </w:p>
    <w:p>
      <w:pPr>
        <w:pStyle w:val="BodyTextIndent3"/>
        <w:tabs>
          <w:tab w:val="clear" w:pos="360"/>
          <w:tab w:val="left" w:pos="0" w:leader="none"/>
        </w:tabs>
        <w:spacing w:lineRule="auto" w:line="240"/>
        <w:ind w:hanging="0" w:start="0" w:end="0"/>
        <w:jc w:val="center"/>
        <w:rPr/>
      </w:pPr>
      <w:r>
        <w:rPr>
          <w:rStyle w:val="LineNumber"/>
          <w:b/>
        </w:rPr>
        <w:t>($ Millions)</w:t>
      </w:r>
    </w:p>
    <w:p>
      <w:pPr>
        <w:pStyle w:val="BodyTextIndent3"/>
        <w:tabs>
          <w:tab w:val="clear" w:pos="360"/>
          <w:tab w:val="left" w:pos="0" w:leader="none"/>
        </w:tabs>
        <w:spacing w:lineRule="auto" w:line="240"/>
        <w:ind w:firstLine="634" w:start="0" w:end="0"/>
        <w:jc w:val="center"/>
        <w:rPr>
          <w:rStyle w:val="LineNumber"/>
          <w:b/>
        </w:rPr>
      </w:pPr>
      <w:r>
        <w:rPr/>
      </w:r>
    </w:p>
    <w:p>
      <w:pPr>
        <w:pStyle w:val="BodyTextIndent3"/>
        <w:tabs>
          <w:tab w:val="clear" w:pos="360"/>
          <w:tab w:val="left" w:pos="0" w:leader="none"/>
        </w:tabs>
        <w:spacing w:lineRule="auto" w:line="240"/>
        <w:ind w:firstLine="634" w:start="0" w:end="0"/>
        <w:jc w:val="start"/>
        <w:rPr/>
      </w:pPr>
      <w:r>
        <w:rPr>
          <w:rStyle w:val="LineNumber"/>
          <w:b/>
          <w:u w:val="single"/>
        </w:rPr>
        <w:t>As of 12/31</w:t>
      </w:r>
      <w:r>
        <w:rPr>
          <w:rStyle w:val="LineNumber"/>
          <w:b/>
        </w:rPr>
        <w:tab/>
        <w:tab/>
        <w:tab/>
      </w:r>
      <w:r>
        <w:rPr>
          <w:rStyle w:val="LineNumber"/>
          <w:b/>
          <w:u w:val="single"/>
        </w:rPr>
        <w:t>Undercollection</w:t>
      </w:r>
    </w:p>
    <w:p>
      <w:pPr>
        <w:pStyle w:val="BodyTextIndent3"/>
        <w:tabs>
          <w:tab w:val="clear" w:pos="360"/>
          <w:tab w:val="left" w:pos="0" w:leader="none"/>
        </w:tabs>
        <w:spacing w:lineRule="auto" w:line="240"/>
        <w:ind w:firstLine="634" w:start="0" w:end="0"/>
        <w:jc w:val="start"/>
        <w:rPr/>
      </w:pPr>
      <w:r>
        <w:rPr>
          <w:rStyle w:val="LineNumber"/>
        </w:rPr>
        <w:t>2001</w:t>
        <w:tab/>
        <w:tab/>
        <w:tab/>
        <w:tab/>
        <w:tab/>
        <w:t>$1,070</w:t>
        <w:tab/>
        <w:tab/>
        <w:tab/>
      </w:r>
    </w:p>
    <w:p>
      <w:pPr>
        <w:pStyle w:val="BodyTextIndent3"/>
        <w:tabs>
          <w:tab w:val="clear" w:pos="360"/>
          <w:tab w:val="left" w:pos="0" w:leader="none"/>
        </w:tabs>
        <w:spacing w:lineRule="auto" w:line="240"/>
        <w:ind w:firstLine="634" w:start="0" w:end="0"/>
        <w:jc w:val="start"/>
        <w:rPr/>
      </w:pPr>
      <w:r>
        <w:rPr>
          <w:rStyle w:val="LineNumber"/>
        </w:rPr>
        <w:t>2002</w:t>
        <w:tab/>
        <w:tab/>
        <w:tab/>
        <w:tab/>
        <w:tab/>
        <w:t>$1,332</w:t>
        <w:tab/>
        <w:tab/>
        <w:tab/>
      </w:r>
    </w:p>
    <w:p>
      <w:pPr>
        <w:pStyle w:val="BodyTextIndent3"/>
        <w:tabs>
          <w:tab w:val="clear" w:pos="360"/>
          <w:tab w:val="left" w:pos="0" w:leader="none"/>
        </w:tabs>
        <w:spacing w:lineRule="auto" w:line="240"/>
        <w:ind w:firstLine="634" w:start="0" w:end="0"/>
        <w:jc w:val="start"/>
        <w:rPr/>
      </w:pPr>
      <w:r>
        <w:rPr>
          <w:rStyle w:val="LineNumber"/>
        </w:rPr>
        <w:t>2003</w:t>
        <w:tab/>
        <w:tab/>
        <w:tab/>
        <w:tab/>
        <w:tab/>
        <w:t>$1,448</w:t>
        <w:tab/>
      </w:r>
    </w:p>
    <w:p>
      <w:pPr>
        <w:pStyle w:val="BodyTextIndent3"/>
        <w:tabs>
          <w:tab w:val="clear" w:pos="360"/>
          <w:tab w:val="left" w:pos="0" w:leader="none"/>
        </w:tabs>
        <w:spacing w:lineRule="auto" w:line="240"/>
        <w:ind w:firstLine="634" w:start="0" w:end="0"/>
        <w:jc w:val="start"/>
        <w:rPr/>
      </w:pPr>
      <w:r>
        <w:rPr>
          <w:rStyle w:val="LineNumber"/>
        </w:rPr>
        <w:tab/>
        <w:tab/>
      </w:r>
    </w:p>
    <w:p>
      <w:pPr>
        <w:pStyle w:val="BodyText2"/>
        <w:rPr/>
      </w:pPr>
      <w:r>
        <w:rPr>
          <w:rStyle w:val="LineNumber"/>
        </w:rPr>
        <w:t>Were the Commission to allow this balancing account undercollection to continue to grow unabated as forecast through the end of 2003, each SDG&amp;E residential customer would face an average liability of about $800</w:t>
      </w:r>
      <w:r>
        <w:rPr>
          <w:rStyle w:val="LineNumber"/>
          <w:rStyle w:val="FootnoteReference"/>
          <w:vertAlign w:val="superscript"/>
        </w:rPr>
        <w:footnoteReference w:id="3"/>
      </w:r>
      <w:r>
        <w:rPr>
          <w:rStyle w:val="LineNumber"/>
        </w:rPr>
        <w:t xml:space="preserve"> for energy consumed over the prior four years.  This amount translates into an average $31 per month surcharge over two years.  Such a surcharge would cause a 43% increase in the average $71 per month total electric bill and would impose a significant hardship on many customers. </w:t>
      </w:r>
    </w:p>
    <w:p>
      <w:pPr>
        <w:pStyle w:val="BodyText2"/>
        <w:rPr/>
      </w:pPr>
      <w:r>
        <w:rPr>
          <w:rStyle w:val="LineNumber"/>
        </w:rPr>
        <w:t>To protect customers against the rate shock of amortizing the entire undercollection at the conclusion of the AB 265 rate ceiling period and to give the certainty and stability required by the financial markets (see testimony of Mr. McMonagle), this testimony proposes ratemaking changes as follows:</w:t>
      </w:r>
    </w:p>
    <w:p>
      <w:pPr>
        <w:pStyle w:val="BodyText2"/>
        <w:spacing w:lineRule="auto" w:line="240"/>
        <w:ind w:hanging="0" w:end="0"/>
        <w:rPr>
          <w:rStyle w:val="LineNumber"/>
        </w:rPr>
      </w:pPr>
      <w:r>
        <w:rPr/>
      </w:r>
    </w:p>
    <w:p>
      <w:pPr>
        <w:pStyle w:val="BodyText2"/>
        <w:spacing w:lineRule="auto" w:line="240"/>
        <w:ind w:hanging="720" w:start="1800" w:end="0"/>
        <w:rPr/>
      </w:pPr>
      <w:r>
        <w:rPr>
          <w:rStyle w:val="LineNumber"/>
        </w:rPr>
        <w:t>1.</w:t>
        <w:tab/>
        <w:t>Convert the existing 6.5 cents/kWh “floating cap” to a fixed rate</w:t>
      </w:r>
    </w:p>
    <w:p>
      <w:pPr>
        <w:pStyle w:val="BodyText2"/>
        <w:spacing w:lineRule="auto" w:line="240"/>
        <w:ind w:hanging="0" w:end="0"/>
        <w:rPr>
          <w:rStyle w:val="LineNumber"/>
        </w:rPr>
      </w:pPr>
      <w:r>
        <w:rPr/>
      </w:r>
    </w:p>
    <w:p>
      <w:pPr>
        <w:pStyle w:val="BodyText2"/>
        <w:spacing w:lineRule="auto" w:line="240"/>
        <w:ind w:hanging="720" w:start="1800" w:end="0"/>
        <w:rPr/>
      </w:pPr>
      <w:r>
        <w:rPr>
          <w:rStyle w:val="LineNumber"/>
        </w:rPr>
        <w:t>2.</w:t>
        <w:tab/>
        <w:t>Add a revenue shortfall surcharge (“RSS”) of 2.3 cents/kWh to SDG&amp;E bills effective March 1, 2001 through December 31, 2005, thus amortizing the undercollection balance to zero by year 2005</w:t>
      </w:r>
    </w:p>
    <w:p>
      <w:pPr>
        <w:pStyle w:val="BodyText2"/>
        <w:spacing w:lineRule="auto" w:line="240"/>
        <w:ind w:hanging="0" w:end="0"/>
        <w:rPr>
          <w:rStyle w:val="LineNumber"/>
        </w:rPr>
      </w:pPr>
      <w:r>
        <w:rPr/>
      </w:r>
    </w:p>
    <w:p>
      <w:pPr>
        <w:pStyle w:val="BodyText2"/>
        <w:spacing w:lineRule="auto" w:line="240"/>
        <w:ind w:hanging="720" w:start="1800" w:end="0"/>
        <w:rPr/>
      </w:pPr>
      <w:r>
        <w:rPr>
          <w:rStyle w:val="LineNumber"/>
        </w:rPr>
        <w:t>3.</w:t>
        <w:tab/>
        <w:t>Exempt CARE</w:t>
      </w:r>
      <w:r>
        <w:rPr>
          <w:rStyle w:val="LineNumber"/>
          <w:rStyle w:val="FootnoteReference"/>
          <w:vertAlign w:val="superscript"/>
        </w:rPr>
        <w:footnoteReference w:id="4"/>
      </w:r>
      <w:r>
        <w:rPr>
          <w:rStyle w:val="LineNumber"/>
        </w:rPr>
        <w:t xml:space="preserve"> customers from the proposed RSS </w:t>
      </w:r>
    </w:p>
    <w:p>
      <w:pPr>
        <w:pStyle w:val="BodyText2"/>
        <w:spacing w:lineRule="auto" w:line="240"/>
        <w:ind w:hanging="0" w:end="0"/>
        <w:rPr>
          <w:rStyle w:val="LineNumber"/>
        </w:rPr>
      </w:pPr>
      <w:r>
        <w:rPr/>
      </w:r>
    </w:p>
    <w:p>
      <w:pPr>
        <w:pStyle w:val="BodyText2"/>
        <w:tabs>
          <w:tab w:val="clear" w:pos="720"/>
          <w:tab w:val="left" w:pos="1800" w:leader="none"/>
        </w:tabs>
        <w:spacing w:lineRule="auto" w:line="240"/>
        <w:ind w:hanging="720" w:start="1800" w:end="0"/>
        <w:rPr>
          <w:rStyle w:val="LineNumber"/>
        </w:rPr>
      </w:pPr>
      <w:r>
        <w:rPr/>
      </w:r>
    </w:p>
    <w:p>
      <w:pPr>
        <w:pStyle w:val="BodyText2"/>
        <w:rPr/>
      </w:pPr>
      <w:r>
        <w:rPr>
          <w:rStyle w:val="LineNumber"/>
        </w:rPr>
        <w:t>In addition, my testimony describes other ratemaking activities that SDG&amp;E can undertake to reduce the projected undercollections in the ERCRSA.  It also addresses the rate and bill levels resulting from SDG&amp;E’s ratemaking proposals as compared to the present rate design.  Finally, the testimony identifies various ancillary benefits resulting from the ratemaking proposals.</w:t>
      </w:r>
    </w:p>
    <w:p>
      <w:pPr>
        <w:pStyle w:val="Normal"/>
        <w:widowControl w:val="false"/>
        <w:tabs>
          <w:tab w:val="clear" w:pos="720"/>
          <w:tab w:val="left" w:pos="360" w:leader="none"/>
        </w:tabs>
        <w:jc w:val="both"/>
        <w:rPr>
          <w:rStyle w:val="LineNumber"/>
        </w:rPr>
      </w:pPr>
      <w:r>
        <w:rPr/>
      </w:r>
    </w:p>
    <w:p>
      <w:pPr>
        <w:pStyle w:val="BodyText2"/>
        <w:ind w:hanging="0" w:end="0"/>
        <w:jc w:val="center"/>
        <w:rPr/>
      </w:pPr>
      <w:r>
        <w:rPr>
          <w:rStyle w:val="LineNumber"/>
          <w:b/>
        </w:rPr>
        <w:t>I.</w:t>
        <w:tab/>
        <w:t>Ratemaking Proposals</w:t>
      </w:r>
    </w:p>
    <w:p>
      <w:pPr>
        <w:pStyle w:val="BodyText2"/>
        <w:ind w:hanging="0" w:end="0"/>
        <w:rPr/>
      </w:pPr>
      <w:r>
        <w:rPr>
          <w:rStyle w:val="LineNumber"/>
          <w:b/>
        </w:rPr>
        <w:t>A.</w:t>
        <w:tab/>
        <w:t>Conversion of the 6.5 cent Floating Cap to a Fixed Rate</w:t>
      </w:r>
    </w:p>
    <w:p>
      <w:pPr>
        <w:pStyle w:val="BodyText2"/>
        <w:rPr/>
      </w:pPr>
      <w:r>
        <w:rPr>
          <w:rStyle w:val="LineNumber"/>
        </w:rPr>
        <w:t xml:space="preserve">As a first step in managing the AB 265 undercollection SDG&amp;E requests the conversion of its floating, capped rate of 6.5 cents per kWh to a fixed rate.  Under the existing “floating” cap, when the actual energy rate component drops below 6.5 cents, SDG&amp;E incurs no undercollection, but it also loses an opportunity to mitigate in a relatively painless way the already large undercollection balance.  A fixed energy rate </w:t>
      </w:r>
    </w:p>
    <w:p>
      <w:pPr>
        <w:pStyle w:val="BodyText2"/>
        <w:ind w:hanging="0" w:end="0"/>
        <w:rPr/>
      </w:pPr>
      <w:r>
        <w:rPr>
          <w:rStyle w:val="LineNumber"/>
        </w:rPr>
        <w:t>component rather than a capped, floating energy rate component would allow for some early mitigation of the undercollection balance if commodity costs drop below the level of the fixed rate.  Customers would simply continue to pay for electric commodity at the same level they have been paying since October, 2000.  Using the Schedule PX forecast presented by Wayne Sakarias, a fixed energy rate of 6.5 cents per kWh would result in a $22 million reduction in the December 2003 undercollection balance.  However, this contribution could rise substantially if wholesale electric commodity prices fall below forecast levels.  In fact, if energy prices fall back to the levels anticipated when AB 265 was enacted (September 2000), then the undercollection in the ERCRSA would be reduced by $184 million.</w:t>
      </w:r>
    </w:p>
    <w:p>
      <w:pPr>
        <w:pStyle w:val="BodyText2"/>
        <w:rPr>
          <w:rStyle w:val="LineNumber"/>
        </w:rPr>
      </w:pPr>
      <w:r>
        <w:rPr/>
      </w:r>
    </w:p>
    <w:p>
      <w:pPr>
        <w:pStyle w:val="Heading1"/>
        <w:numPr>
          <w:ilvl w:val="0"/>
          <w:numId w:val="3"/>
        </w:numPr>
        <w:spacing w:lineRule="auto" w:line="240"/>
        <w:rPr>
          <w:rStyle w:val="LineNumber"/>
          <w:b/>
          <w:u w:val="none"/>
        </w:rPr>
      </w:pPr>
      <w:r>
        <w:rPr>
          <w:rStyle w:val="LineNumber"/>
          <w:b/>
          <w:u w:val="none"/>
        </w:rPr>
        <w:t xml:space="preserve">Adoption Of A 2.3 cents/kWh Revenue Shortfall Surcharge From 2001 Through 2005. </w:t>
      </w:r>
    </w:p>
    <w:p>
      <w:pPr>
        <w:pStyle w:val="Normal"/>
        <w:rPr>
          <w:rStyle w:val="LineNumber"/>
          <w:b/>
          <w:u w:val="none"/>
        </w:rPr>
      </w:pPr>
      <w:r>
        <w:rPr/>
      </w:r>
    </w:p>
    <w:p>
      <w:pPr>
        <w:pStyle w:val="Heading1"/>
        <w:spacing w:lineRule="auto" w:line="360"/>
        <w:ind w:firstLine="720" w:start="0" w:end="0"/>
        <w:rPr/>
      </w:pPr>
      <w:r>
        <w:rPr>
          <w:rStyle w:val="LineNumber"/>
          <w:b/>
          <w:u w:val="none"/>
        </w:rPr>
        <w:t>1.</w:t>
        <w:tab/>
        <w:t>Introduction</w:t>
      </w:r>
    </w:p>
    <w:p>
      <w:pPr>
        <w:pStyle w:val="Heading1"/>
        <w:ind w:firstLine="720" w:start="0" w:end="0"/>
        <w:rPr/>
      </w:pPr>
      <w:r>
        <w:rPr>
          <w:rStyle w:val="LineNumber"/>
          <w:u w:val="none"/>
        </w:rPr>
        <w:t xml:space="preserve">Given current power market forecasts described in the testimony of Wayne Sakarias, adoption of a fixed rate at 6.5 cents per kWh will not by itself manage the undercollection balance sufficiently to protect customers from future rate shock and to protect SDG&amp;E's financial viability.  As detailed further below, the fixed rate must be combined with a surcharge on use of the electric commodity if the undercollection is to be recovered over a reasonable period of time. The amortization period for recovery of the undercollection through a surcharge must begin immediately so that further, unchecked growth in the undercollection can be avoided and so that recovery will be from those customers benefiting from the capped rate.  However, the amortization period also needs to be of sufficient length such that the surcharge does not create a substantial financial burden on customers.  Therefore, SDG&amp;E in this application proposes a Revenue Shortfall Surcharge (RSS or Surcharge) of 2.3 cents per kWh in order to reach reasonable year-end undercollection target levels (i.e., an adopted amortization schedule) with the ultimate goal of minimizing collection impacts on customers while eliminating the undercollection by the end of 2005.  </w:t>
      </w:r>
    </w:p>
    <w:p>
      <w:pPr>
        <w:pStyle w:val="Normal"/>
        <w:rPr>
          <w:rStyle w:val="LineNumber"/>
          <w:u w:val="none"/>
        </w:rPr>
      </w:pPr>
      <w:r>
        <w:rPr/>
      </w:r>
    </w:p>
    <w:p>
      <w:pPr>
        <w:pStyle w:val="Normal"/>
        <w:numPr>
          <w:ilvl w:val="0"/>
          <w:numId w:val="2"/>
        </w:numPr>
        <w:ind w:hanging="360" w:start="1080" w:end="0"/>
        <w:rPr>
          <w:rStyle w:val="LineNumber"/>
          <w:b/>
        </w:rPr>
      </w:pPr>
      <w:r>
        <w:rPr>
          <w:rStyle w:val="LineNumber"/>
          <w:b/>
        </w:rPr>
        <w:t>Reasonableness of Amortization Period</w:t>
      </w:r>
    </w:p>
    <w:p>
      <w:pPr>
        <w:pStyle w:val="Normal"/>
        <w:numPr>
          <w:ilvl w:val="0"/>
          <w:numId w:val="0"/>
        </w:numPr>
        <w:ind w:hanging="0" w:start="0"/>
        <w:rPr>
          <w:rStyle w:val="LineNumber"/>
          <w:b/>
        </w:rPr>
      </w:pPr>
      <w:r>
        <w:rPr/>
      </w:r>
    </w:p>
    <w:p>
      <w:pPr>
        <w:pStyle w:val="Heading1"/>
        <w:numPr>
          <w:ilvl w:val="0"/>
          <w:numId w:val="0"/>
        </w:numPr>
        <w:ind w:firstLine="720" w:start="0" w:end="0"/>
        <w:rPr/>
      </w:pPr>
      <w:r>
        <w:rPr>
          <w:rStyle w:val="LineNumber"/>
          <w:u w:val="none"/>
        </w:rPr>
        <w:t xml:space="preserve">AB 265 retains the commodity price ceiling in place until 2002, with a possible extension through the end of 2003 should the Commission determine that the public interest requires such an extension.  As stated earlier, under current forecasts, we anticipate a balancing account undercollection of $1.45 billion at the end of 2003.  It is appropriate that the surcharge be implemented immediately in order to manage and reduce the size of the undercollection.  However, it is also typical for the Commission to impose a two-year or less amortization period for the collection or refund of under- or over-collected balancing accounts once all funds are collected in the accounts.  Thus, a two- year amortization period following the end of 2003 is consistent with Commission practice and would leave the Surcharge in place through 2005.   This two-year amortization period in addition to the three remaining years of the AB 265 rate ceiling provides for a total amortization period of five years (2001 through 2005), which is consistent with the rate stabilization plan period adopted by the Commission.  SDG&amp;E believes that this 5-year amortization period is also reasonable because it allows for the full recovery of the undercollection without placing an undue financial burden on customers.  </w:t>
      </w:r>
    </w:p>
    <w:p>
      <w:pPr>
        <w:pStyle w:val="Normal"/>
        <w:numPr>
          <w:ilvl w:val="0"/>
          <w:numId w:val="0"/>
        </w:numPr>
        <w:ind w:hanging="0" w:start="0"/>
        <w:rPr>
          <w:rStyle w:val="LineNumber"/>
          <w:u w:val="none"/>
        </w:rPr>
      </w:pPr>
      <w:r>
        <w:rPr/>
      </w:r>
    </w:p>
    <w:p>
      <w:pPr>
        <w:pStyle w:val="Normal"/>
        <w:numPr>
          <w:ilvl w:val="0"/>
          <w:numId w:val="2"/>
        </w:numPr>
        <w:rPr>
          <w:rStyle w:val="LineNumber"/>
          <w:b/>
        </w:rPr>
      </w:pPr>
      <w:r>
        <w:rPr>
          <w:rStyle w:val="LineNumber"/>
          <w:b/>
        </w:rPr>
        <w:t>Estimating the Undercollection During the Amortization Period</w:t>
        <w:br/>
        <w:t>and Determining the Appropriate Surcharge Amount</w:t>
      </w:r>
    </w:p>
    <w:p>
      <w:pPr>
        <w:pStyle w:val="Normal"/>
        <w:numPr>
          <w:ilvl w:val="0"/>
          <w:numId w:val="0"/>
        </w:numPr>
        <w:ind w:hanging="0" w:start="0"/>
        <w:rPr>
          <w:rStyle w:val="LineNumber"/>
          <w:b/>
        </w:rPr>
      </w:pPr>
      <w:r>
        <w:rPr/>
      </w:r>
    </w:p>
    <w:p>
      <w:pPr>
        <w:pStyle w:val="Normal"/>
        <w:numPr>
          <w:ilvl w:val="0"/>
          <w:numId w:val="0"/>
        </w:numPr>
        <w:spacing w:lineRule="auto" w:line="480"/>
        <w:ind w:firstLine="720" w:start="0" w:end="0"/>
        <w:rPr/>
      </w:pPr>
      <w:r>
        <w:rPr>
          <w:rStyle w:val="LineNumber"/>
        </w:rPr>
        <w:t>SDG&amp;E has developed a mathematical model to calculate SDG&amp;E's ERCRSA undercollection balances at different points in time which can then be used to forecast the surcharges necessary to amortize those balances by the end of 2005.  The primary inputs to the model are: 1) forward monthly Electric Energy Commodity Charge prices, and 2) projected monthly consumption of customers subject to the AB 265 electric rate ceiling.  The model calculates each month's undercollection as the difference between: 1) monthly customer consumption times the ceiling rate of 6.5 cents per kWh, and 2) monthly customer consumption times the actual Schedule PX whenever actual Schedule PX is higher than the ceiling rate of 6.5 cents per kWh.  The net undercollection balance calculated each month is the cumulative undercollection balance, including interest, offset by CTC rate revenue from customers subject to AB 265.  The model uses an annual interest rate of 6.5% and interest accrues monthly on the cumulative undercollection balance.  The model assumes an unchanged CTC rate component.</w:t>
      </w:r>
    </w:p>
    <w:p>
      <w:pPr>
        <w:pStyle w:val="Normal"/>
        <w:numPr>
          <w:ilvl w:val="0"/>
          <w:numId w:val="0"/>
        </w:numPr>
        <w:spacing w:lineRule="auto" w:line="480"/>
        <w:ind w:hanging="0" w:start="0"/>
        <w:rPr/>
      </w:pPr>
      <w:r>
        <w:rPr>
          <w:rStyle w:val="LineNumber"/>
        </w:rPr>
        <w:tab/>
        <w:t xml:space="preserve">The model's treatment of SDG&amp;E retained generation reflects the fact that retained generation is no longer sold into the PX, but is now scheduled directly to SDG&amp;E to serve utility load.  The model reflects the assignment of all retained generation costs to bundled load, which allows approximately 75% of the value of retained generation to flow through the Electric Energy Commodity Charge to customers subject to AB 265.  Until this change occurred at the beginning of January 2001, the model included 60% of the below-market value of retained generation as a direct offset to the undercollection balance.  </w:t>
      </w:r>
    </w:p>
    <w:p>
      <w:pPr>
        <w:pStyle w:val="BodyText"/>
        <w:numPr>
          <w:ilvl w:val="0"/>
          <w:numId w:val="0"/>
        </w:numPr>
        <w:spacing w:lineRule="auto" w:line="480" w:before="0" w:after="0"/>
        <w:ind w:hanging="0" w:start="0"/>
        <w:rPr/>
      </w:pPr>
      <w:r>
        <w:rPr>
          <w:rStyle w:val="LineNumber"/>
        </w:rPr>
        <w:tab/>
        <w:t>The model is updated on both a weekly and a monthly basis.  During the first or second week of each month, the prior month actual booked cumulative undercollection balance and the actual booked TCBA (under 100 KW) balance are inputted into the model, which then becomes the starting point for the undercollection balance projections.  Every week Mr. Sakarias provides a new Schedule PX forecast which is the most important variable in projecting the undercollections.</w:t>
      </w:r>
    </w:p>
    <w:p>
      <w:pPr>
        <w:pStyle w:val="Normal"/>
        <w:numPr>
          <w:ilvl w:val="0"/>
          <w:numId w:val="0"/>
        </w:numPr>
        <w:spacing w:lineRule="auto" w:line="480"/>
        <w:ind w:hanging="0" w:start="0"/>
        <w:rPr/>
      </w:pPr>
      <w:r>
        <w:rPr>
          <w:rStyle w:val="LineNumber"/>
        </w:rPr>
        <w:tab/>
        <w:t>When updated, the model allows for various surcharge scenarios to be run through 2005.  In conducting those scenarios, varying levels of surcharges are added to the AB 265 energy ceiling rate of 6.5 cents per kWh in years 2001, 2002 and 2003, and to the forecasted wholesale market rate of electricity in years 2004-05.</w:t>
      </w:r>
    </w:p>
    <w:p>
      <w:pPr>
        <w:pStyle w:val="Normal"/>
        <w:numPr>
          <w:ilvl w:val="0"/>
          <w:numId w:val="0"/>
        </w:numPr>
        <w:spacing w:lineRule="auto" w:line="360"/>
        <w:ind w:hanging="0" w:start="0"/>
        <w:rPr>
          <w:rStyle w:val="LineNumber"/>
        </w:rPr>
      </w:pPr>
      <w:r>
        <w:rPr/>
      </w:r>
    </w:p>
    <w:p>
      <w:pPr>
        <w:pStyle w:val="Normal"/>
        <w:numPr>
          <w:ilvl w:val="0"/>
          <w:numId w:val="2"/>
        </w:numPr>
        <w:ind w:hanging="360" w:start="1080" w:end="0"/>
        <w:rPr>
          <w:rStyle w:val="LineNumber"/>
          <w:b/>
        </w:rPr>
      </w:pPr>
      <w:r>
        <w:rPr>
          <w:rStyle w:val="LineNumber"/>
          <w:b/>
        </w:rPr>
        <w:t>Reasonableness of the Surcharge Rate</w:t>
      </w:r>
    </w:p>
    <w:p>
      <w:pPr>
        <w:pStyle w:val="Normal"/>
        <w:numPr>
          <w:ilvl w:val="0"/>
          <w:numId w:val="0"/>
        </w:numPr>
        <w:ind w:hanging="0" w:start="0"/>
        <w:rPr>
          <w:rStyle w:val="LineNumber"/>
          <w:b/>
        </w:rPr>
      </w:pPr>
      <w:r>
        <w:rPr/>
      </w:r>
    </w:p>
    <w:p>
      <w:pPr>
        <w:pStyle w:val="BodyTextIndent2"/>
        <w:numPr>
          <w:ilvl w:val="0"/>
          <w:numId w:val="0"/>
        </w:numPr>
        <w:ind w:firstLine="720" w:start="0" w:end="0"/>
        <w:rPr/>
      </w:pPr>
      <w:r>
        <w:rPr>
          <w:rStyle w:val="LineNumber"/>
        </w:rPr>
        <w:t xml:space="preserve">Based upon the most recent available inputs to the model as of the time of filing this application, SDG&amp;E determined that an RSS of 2.3 cents per kWh, beginning on March 1, 2001 and ending on December 31, 2005, will accomplish the objectives SDG&amp;E identified for recovering the undercollection in the ERCRSA.  Table 2, below, demonstrates that adopting an RSS of 2.3 cents/kWh RSS for the five-year period manages the total amount of the undercollection to a reasonable level while maintaining the surcharge at a relatively modest level. </w:t>
      </w:r>
    </w:p>
    <w:p>
      <w:pPr>
        <w:pStyle w:val="Normal"/>
        <w:numPr>
          <w:ilvl w:val="0"/>
          <w:numId w:val="0"/>
        </w:numPr>
        <w:ind w:hanging="0" w:start="0"/>
        <w:rPr/>
      </w:pPr>
      <w:r>
        <w:rPr>
          <w:rStyle w:val="LineNumber"/>
        </w:rPr>
        <w:tab/>
      </w:r>
      <w:r>
        <w:br w:type="page"/>
      </w:r>
    </w:p>
    <w:p>
      <w:pPr>
        <w:pStyle w:val="Heading1"/>
        <w:numPr>
          <w:ilvl w:val="0"/>
          <w:numId w:val="0"/>
        </w:numPr>
        <w:spacing w:lineRule="auto" w:line="240"/>
        <w:ind w:hanging="0" w:start="0"/>
        <w:jc w:val="center"/>
        <w:rPr/>
      </w:pPr>
      <w:r>
        <w:rPr>
          <w:rStyle w:val="LineNumber"/>
          <w:b/>
        </w:rPr>
        <w:t>Table 2:</w:t>
      </w:r>
    </w:p>
    <w:p>
      <w:pPr>
        <w:pStyle w:val="Heading1"/>
        <w:numPr>
          <w:ilvl w:val="0"/>
          <w:numId w:val="0"/>
        </w:numPr>
        <w:spacing w:lineRule="auto" w:line="240"/>
        <w:ind w:hanging="0" w:start="0"/>
        <w:jc w:val="center"/>
        <w:rPr/>
      </w:pPr>
      <w:r>
        <w:rPr>
          <w:rStyle w:val="LineNumber"/>
          <w:b/>
        </w:rPr>
        <w:t>AB 265 Undercollection Balances ($ Millions) and Surcharges</w:t>
      </w:r>
    </w:p>
    <w:p>
      <w:pPr>
        <w:pStyle w:val="Heading8"/>
        <w:numPr>
          <w:ilvl w:val="0"/>
          <w:numId w:val="0"/>
        </w:numPr>
        <w:ind w:hanging="0" w:start="0"/>
        <w:rPr>
          <w:rStyle w:val="LineNumber"/>
          <w:b w:val="false"/>
        </w:rPr>
      </w:pPr>
      <w:r>
        <w:rPr/>
      </w:r>
    </w:p>
    <w:p>
      <w:pPr>
        <w:pStyle w:val="Normal"/>
        <w:numPr>
          <w:ilvl w:val="0"/>
          <w:numId w:val="0"/>
        </w:numPr>
        <w:ind w:hanging="0" w:start="0"/>
        <w:rPr>
          <w:rStyle w:val="LineNumber"/>
        </w:rPr>
      </w:pPr>
      <w:r>
        <w:rPr/>
      </w:r>
    </w:p>
    <w:tbl>
      <w:tblPr>
        <w:tblW w:w="8765" w:type="dxa"/>
        <w:jc w:val="start"/>
        <w:tblInd w:w="0" w:type="dxa"/>
        <w:tblLayout w:type="fixed"/>
        <w:tblCellMar>
          <w:top w:w="0" w:type="dxa"/>
          <w:start w:w="30" w:type="dxa"/>
          <w:bottom w:w="0" w:type="dxa"/>
          <w:end w:w="30" w:type="dxa"/>
        </w:tblCellMar>
      </w:tblPr>
      <w:tblGrid>
        <w:gridCol w:w="3166"/>
        <w:gridCol w:w="957"/>
        <w:gridCol w:w="197"/>
        <w:gridCol w:w="970"/>
        <w:gridCol w:w="196"/>
        <w:gridCol w:w="970"/>
        <w:gridCol w:w="197"/>
        <w:gridCol w:w="945"/>
        <w:gridCol w:w="197"/>
        <w:gridCol w:w="970"/>
      </w:tblGrid>
      <w:tr>
        <w:trPr>
          <w:trHeight w:val="274" w:hRule="atLeast"/>
        </w:trPr>
        <w:tc>
          <w:tcPr>
            <w:tcW w:w="3166" w:type="dxa"/>
            <w:tcBorders/>
          </w:tcPr>
          <w:p>
            <w:pPr>
              <w:pStyle w:val="Normal"/>
              <w:numPr>
                <w:ilvl w:val="0"/>
                <w:numId w:val="0"/>
              </w:numPr>
              <w:snapToGrid w:val="false"/>
              <w:ind w:hanging="0" w:start="0"/>
              <w:jc w:val="end"/>
              <w:rPr>
                <w:rStyle w:val="LineNumber"/>
              </w:rPr>
            </w:pPr>
            <w:r>
              <w:rPr/>
            </w:r>
          </w:p>
        </w:tc>
        <w:tc>
          <w:tcPr>
            <w:tcW w:w="957" w:type="dxa"/>
            <w:tcBorders>
              <w:top w:val="single" w:sz="6" w:space="0" w:color="000000"/>
              <w:start w:val="single" w:sz="6" w:space="0" w:color="000000"/>
              <w:bottom w:val="single" w:sz="6" w:space="0" w:color="000000"/>
            </w:tcBorders>
          </w:tcPr>
          <w:p>
            <w:pPr>
              <w:pStyle w:val="Normal"/>
              <w:numPr>
                <w:ilvl w:val="0"/>
                <w:numId w:val="0"/>
              </w:numPr>
              <w:ind w:hanging="0" w:start="0"/>
              <w:jc w:val="center"/>
              <w:rPr/>
            </w:pPr>
            <w:r>
              <w:rPr>
                <w:rStyle w:val="LineNumber"/>
              </w:rPr>
              <w:t>Dec. 2001</w:t>
            </w:r>
          </w:p>
        </w:tc>
        <w:tc>
          <w:tcPr>
            <w:tcW w:w="197" w:type="dxa"/>
            <w:tcBorders>
              <w:top w:val="single" w:sz="6" w:space="0" w:color="000000"/>
              <w:bottom w:val="single" w:sz="6" w:space="0" w:color="000000"/>
            </w:tcBorders>
          </w:tcPr>
          <w:p>
            <w:pPr>
              <w:pStyle w:val="Normal"/>
              <w:numPr>
                <w:ilvl w:val="0"/>
                <w:numId w:val="0"/>
              </w:numPr>
              <w:snapToGrid w:val="false"/>
              <w:ind w:hanging="0" w:start="0"/>
              <w:jc w:val="center"/>
              <w:rPr>
                <w:rStyle w:val="LineNumber"/>
              </w:rPr>
            </w:pPr>
            <w:r>
              <w:rPr/>
            </w:r>
          </w:p>
        </w:tc>
        <w:tc>
          <w:tcPr>
            <w:tcW w:w="970" w:type="dxa"/>
            <w:tcBorders>
              <w:top w:val="single" w:sz="6" w:space="0" w:color="000000"/>
              <w:bottom w:val="single" w:sz="6" w:space="0" w:color="000000"/>
            </w:tcBorders>
          </w:tcPr>
          <w:p>
            <w:pPr>
              <w:pStyle w:val="Normal"/>
              <w:numPr>
                <w:ilvl w:val="0"/>
                <w:numId w:val="0"/>
              </w:numPr>
              <w:ind w:hanging="0" w:start="0"/>
              <w:jc w:val="center"/>
              <w:rPr/>
            </w:pPr>
            <w:r>
              <w:rPr>
                <w:rStyle w:val="LineNumber"/>
              </w:rPr>
              <w:t>Dec. 2002</w:t>
            </w:r>
          </w:p>
        </w:tc>
        <w:tc>
          <w:tcPr>
            <w:tcW w:w="196" w:type="dxa"/>
            <w:tcBorders>
              <w:top w:val="single" w:sz="6" w:space="0" w:color="000000"/>
              <w:bottom w:val="single" w:sz="6" w:space="0" w:color="000000"/>
            </w:tcBorders>
          </w:tcPr>
          <w:p>
            <w:pPr>
              <w:pStyle w:val="Normal"/>
              <w:numPr>
                <w:ilvl w:val="0"/>
                <w:numId w:val="0"/>
              </w:numPr>
              <w:snapToGrid w:val="false"/>
              <w:ind w:hanging="0" w:start="0"/>
              <w:jc w:val="center"/>
              <w:rPr>
                <w:rStyle w:val="LineNumber"/>
              </w:rPr>
            </w:pPr>
            <w:r>
              <w:rPr/>
            </w:r>
          </w:p>
        </w:tc>
        <w:tc>
          <w:tcPr>
            <w:tcW w:w="970" w:type="dxa"/>
            <w:tcBorders>
              <w:top w:val="single" w:sz="6" w:space="0" w:color="000000"/>
              <w:bottom w:val="single" w:sz="6" w:space="0" w:color="000000"/>
            </w:tcBorders>
          </w:tcPr>
          <w:p>
            <w:pPr>
              <w:pStyle w:val="Normal"/>
              <w:numPr>
                <w:ilvl w:val="0"/>
                <w:numId w:val="0"/>
              </w:numPr>
              <w:ind w:hanging="0" w:start="0"/>
              <w:jc w:val="center"/>
              <w:rPr/>
            </w:pPr>
            <w:r>
              <w:rPr>
                <w:rStyle w:val="LineNumber"/>
              </w:rPr>
              <w:t>Dec. 2003</w:t>
            </w:r>
          </w:p>
        </w:tc>
        <w:tc>
          <w:tcPr>
            <w:tcW w:w="197" w:type="dxa"/>
            <w:tcBorders>
              <w:top w:val="single" w:sz="6" w:space="0" w:color="000000"/>
              <w:bottom w:val="single" w:sz="6" w:space="0" w:color="000000"/>
            </w:tcBorders>
          </w:tcPr>
          <w:p>
            <w:pPr>
              <w:pStyle w:val="Normal"/>
              <w:numPr>
                <w:ilvl w:val="0"/>
                <w:numId w:val="0"/>
              </w:numPr>
              <w:snapToGrid w:val="false"/>
              <w:ind w:hanging="0" w:start="0"/>
              <w:jc w:val="center"/>
              <w:rPr>
                <w:rStyle w:val="LineNumber"/>
              </w:rPr>
            </w:pPr>
            <w:r>
              <w:rPr/>
            </w:r>
          </w:p>
        </w:tc>
        <w:tc>
          <w:tcPr>
            <w:tcW w:w="945" w:type="dxa"/>
            <w:tcBorders>
              <w:top w:val="single" w:sz="6" w:space="0" w:color="000000"/>
              <w:bottom w:val="single" w:sz="6" w:space="0" w:color="000000"/>
            </w:tcBorders>
          </w:tcPr>
          <w:p>
            <w:pPr>
              <w:pStyle w:val="Normal"/>
              <w:numPr>
                <w:ilvl w:val="0"/>
                <w:numId w:val="0"/>
              </w:numPr>
              <w:ind w:hanging="0" w:start="0"/>
              <w:jc w:val="center"/>
              <w:rPr/>
            </w:pPr>
            <w:r>
              <w:rPr>
                <w:rStyle w:val="LineNumber"/>
              </w:rPr>
              <w:t>Dec. 2004</w:t>
            </w:r>
          </w:p>
        </w:tc>
        <w:tc>
          <w:tcPr>
            <w:tcW w:w="197" w:type="dxa"/>
            <w:tcBorders>
              <w:top w:val="single" w:sz="6" w:space="0" w:color="000000"/>
              <w:bottom w:val="single" w:sz="6" w:space="0" w:color="000000"/>
            </w:tcBorders>
          </w:tcPr>
          <w:p>
            <w:pPr>
              <w:pStyle w:val="Normal"/>
              <w:numPr>
                <w:ilvl w:val="0"/>
                <w:numId w:val="0"/>
              </w:numPr>
              <w:snapToGrid w:val="false"/>
              <w:ind w:hanging="0" w:start="0"/>
              <w:jc w:val="center"/>
              <w:rPr>
                <w:rStyle w:val="LineNumber"/>
              </w:rPr>
            </w:pPr>
            <w:r>
              <w:rPr/>
            </w:r>
          </w:p>
        </w:tc>
        <w:tc>
          <w:tcPr>
            <w:tcW w:w="970" w:type="dxa"/>
            <w:tcBorders>
              <w:top w:val="single" w:sz="6" w:space="0" w:color="000000"/>
              <w:bottom w:val="single" w:sz="6" w:space="0" w:color="000000"/>
              <w:end w:val="single" w:sz="6" w:space="0" w:color="000000"/>
            </w:tcBorders>
          </w:tcPr>
          <w:p>
            <w:pPr>
              <w:pStyle w:val="Normal"/>
              <w:numPr>
                <w:ilvl w:val="0"/>
                <w:numId w:val="0"/>
              </w:numPr>
              <w:ind w:hanging="0" w:start="0"/>
              <w:jc w:val="center"/>
              <w:rPr/>
            </w:pPr>
            <w:r>
              <w:rPr>
                <w:rStyle w:val="LineNumber"/>
              </w:rPr>
              <w:t>Dec. 2005</w:t>
            </w:r>
          </w:p>
        </w:tc>
      </w:tr>
      <w:tr>
        <w:trPr>
          <w:trHeight w:val="262" w:hRule="atLeast"/>
        </w:trPr>
        <w:tc>
          <w:tcPr>
            <w:tcW w:w="3166" w:type="dxa"/>
            <w:tcBorders/>
          </w:tcPr>
          <w:p>
            <w:pPr>
              <w:pStyle w:val="Normal"/>
              <w:numPr>
                <w:ilvl w:val="0"/>
                <w:numId w:val="0"/>
              </w:numPr>
              <w:snapToGrid w:val="false"/>
              <w:ind w:hanging="0" w:start="0"/>
              <w:jc w:val="end"/>
              <w:rPr>
                <w:rStyle w:val="LineNumber"/>
              </w:rPr>
            </w:pPr>
            <w:r>
              <w:rPr/>
            </w:r>
          </w:p>
        </w:tc>
        <w:tc>
          <w:tcPr>
            <w:tcW w:w="957" w:type="dxa"/>
            <w:tcBorders/>
          </w:tcPr>
          <w:p>
            <w:pPr>
              <w:pStyle w:val="Normal"/>
              <w:numPr>
                <w:ilvl w:val="0"/>
                <w:numId w:val="0"/>
              </w:numPr>
              <w:snapToGrid w:val="false"/>
              <w:ind w:hanging="0" w:start="0"/>
              <w:jc w:val="end"/>
              <w:rPr>
                <w:rStyle w:val="LineNumber"/>
              </w:rPr>
            </w:pPr>
            <w:r>
              <w:rPr/>
            </w:r>
          </w:p>
        </w:tc>
        <w:tc>
          <w:tcPr>
            <w:tcW w:w="197" w:type="dxa"/>
            <w:tcBorders/>
          </w:tcPr>
          <w:p>
            <w:pPr>
              <w:pStyle w:val="Normal"/>
              <w:numPr>
                <w:ilvl w:val="0"/>
                <w:numId w:val="0"/>
              </w:numPr>
              <w:snapToGrid w:val="false"/>
              <w:ind w:hanging="0" w:start="0"/>
              <w:jc w:val="end"/>
              <w:rPr>
                <w:rStyle w:val="LineNumber"/>
              </w:rPr>
            </w:pPr>
            <w:r>
              <w:rPr/>
            </w:r>
          </w:p>
        </w:tc>
        <w:tc>
          <w:tcPr>
            <w:tcW w:w="970" w:type="dxa"/>
            <w:tcBorders/>
          </w:tcPr>
          <w:p>
            <w:pPr>
              <w:pStyle w:val="Normal"/>
              <w:numPr>
                <w:ilvl w:val="0"/>
                <w:numId w:val="0"/>
              </w:numPr>
              <w:snapToGrid w:val="false"/>
              <w:ind w:hanging="0" w:start="0"/>
              <w:jc w:val="end"/>
              <w:rPr>
                <w:rStyle w:val="LineNumber"/>
              </w:rPr>
            </w:pPr>
            <w:r>
              <w:rPr/>
            </w:r>
          </w:p>
        </w:tc>
        <w:tc>
          <w:tcPr>
            <w:tcW w:w="196" w:type="dxa"/>
            <w:tcBorders/>
          </w:tcPr>
          <w:p>
            <w:pPr>
              <w:pStyle w:val="Normal"/>
              <w:numPr>
                <w:ilvl w:val="0"/>
                <w:numId w:val="0"/>
              </w:numPr>
              <w:snapToGrid w:val="false"/>
              <w:ind w:hanging="0" w:start="0"/>
              <w:jc w:val="end"/>
              <w:rPr>
                <w:rStyle w:val="LineNumber"/>
              </w:rPr>
            </w:pPr>
            <w:r>
              <w:rPr/>
            </w:r>
          </w:p>
        </w:tc>
        <w:tc>
          <w:tcPr>
            <w:tcW w:w="970" w:type="dxa"/>
            <w:tcBorders/>
          </w:tcPr>
          <w:p>
            <w:pPr>
              <w:pStyle w:val="Normal"/>
              <w:numPr>
                <w:ilvl w:val="0"/>
                <w:numId w:val="0"/>
              </w:numPr>
              <w:snapToGrid w:val="false"/>
              <w:ind w:hanging="0" w:start="0"/>
              <w:jc w:val="end"/>
              <w:rPr>
                <w:rStyle w:val="LineNumber"/>
              </w:rPr>
            </w:pPr>
            <w:r>
              <w:rPr/>
            </w:r>
          </w:p>
        </w:tc>
        <w:tc>
          <w:tcPr>
            <w:tcW w:w="197" w:type="dxa"/>
            <w:tcBorders/>
          </w:tcPr>
          <w:p>
            <w:pPr>
              <w:pStyle w:val="Normal"/>
              <w:numPr>
                <w:ilvl w:val="0"/>
                <w:numId w:val="0"/>
              </w:numPr>
              <w:snapToGrid w:val="false"/>
              <w:ind w:hanging="0" w:start="0"/>
              <w:jc w:val="end"/>
              <w:rPr>
                <w:rStyle w:val="LineNumber"/>
              </w:rPr>
            </w:pPr>
            <w:r>
              <w:rPr/>
            </w:r>
          </w:p>
        </w:tc>
        <w:tc>
          <w:tcPr>
            <w:tcW w:w="945" w:type="dxa"/>
            <w:tcBorders/>
          </w:tcPr>
          <w:p>
            <w:pPr>
              <w:pStyle w:val="Normal"/>
              <w:numPr>
                <w:ilvl w:val="0"/>
                <w:numId w:val="0"/>
              </w:numPr>
              <w:snapToGrid w:val="false"/>
              <w:ind w:hanging="0" w:start="0"/>
              <w:jc w:val="end"/>
              <w:rPr>
                <w:rStyle w:val="LineNumber"/>
              </w:rPr>
            </w:pPr>
            <w:r>
              <w:rPr/>
            </w:r>
          </w:p>
        </w:tc>
        <w:tc>
          <w:tcPr>
            <w:tcW w:w="197" w:type="dxa"/>
            <w:tcBorders/>
          </w:tcPr>
          <w:p>
            <w:pPr>
              <w:pStyle w:val="Normal"/>
              <w:numPr>
                <w:ilvl w:val="0"/>
                <w:numId w:val="0"/>
              </w:numPr>
              <w:snapToGrid w:val="false"/>
              <w:ind w:hanging="0" w:start="0"/>
              <w:jc w:val="end"/>
              <w:rPr>
                <w:rStyle w:val="LineNumber"/>
              </w:rPr>
            </w:pPr>
            <w:r>
              <w:rPr/>
            </w:r>
          </w:p>
        </w:tc>
        <w:tc>
          <w:tcPr>
            <w:tcW w:w="970" w:type="dxa"/>
            <w:tcBorders/>
          </w:tcPr>
          <w:p>
            <w:pPr>
              <w:pStyle w:val="Normal"/>
              <w:numPr>
                <w:ilvl w:val="0"/>
                <w:numId w:val="0"/>
              </w:numPr>
              <w:snapToGrid w:val="false"/>
              <w:ind w:hanging="0" w:start="0"/>
              <w:jc w:val="end"/>
              <w:rPr>
                <w:rStyle w:val="LineNumber"/>
              </w:rPr>
            </w:pPr>
            <w:r>
              <w:rPr/>
            </w:r>
          </w:p>
        </w:tc>
      </w:tr>
      <w:tr>
        <w:trPr>
          <w:trHeight w:val="262" w:hRule="atLeast"/>
        </w:trPr>
        <w:tc>
          <w:tcPr>
            <w:tcW w:w="3166" w:type="dxa"/>
            <w:tcBorders/>
          </w:tcPr>
          <w:p>
            <w:pPr>
              <w:pStyle w:val="Heading7"/>
              <w:numPr>
                <w:ilvl w:val="0"/>
                <w:numId w:val="0"/>
              </w:numPr>
              <w:ind w:hanging="0" w:start="0"/>
              <w:rPr/>
            </w:pPr>
            <w:r>
              <w:rPr>
                <w:rStyle w:val="LineNumber"/>
              </w:rPr>
              <w:t>Present Rates under AB 265</w:t>
            </w:r>
          </w:p>
        </w:tc>
        <w:tc>
          <w:tcPr>
            <w:tcW w:w="957" w:type="dxa"/>
            <w:tcBorders/>
          </w:tcPr>
          <w:p>
            <w:pPr>
              <w:pStyle w:val="Normal"/>
              <w:numPr>
                <w:ilvl w:val="0"/>
                <w:numId w:val="0"/>
              </w:numPr>
              <w:ind w:hanging="0" w:start="0"/>
              <w:jc w:val="center"/>
              <w:rPr/>
            </w:pPr>
            <w:r>
              <w:rPr>
                <w:rStyle w:val="LineNumber"/>
              </w:rPr>
              <w:t>1,070</w:t>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1,332</w:t>
            </w:r>
          </w:p>
        </w:tc>
        <w:tc>
          <w:tcPr>
            <w:tcW w:w="196"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1,448</w:t>
            </w:r>
          </w:p>
        </w:tc>
        <w:tc>
          <w:tcPr>
            <w:tcW w:w="197" w:type="dxa"/>
            <w:tcBorders/>
          </w:tcPr>
          <w:p>
            <w:pPr>
              <w:pStyle w:val="Normal"/>
              <w:numPr>
                <w:ilvl w:val="0"/>
                <w:numId w:val="0"/>
              </w:numPr>
              <w:snapToGrid w:val="false"/>
              <w:ind w:hanging="0" w:start="0"/>
              <w:jc w:val="center"/>
              <w:rPr>
                <w:rStyle w:val="LineNumber"/>
              </w:rPr>
            </w:pPr>
            <w:r>
              <w:rPr/>
            </w:r>
          </w:p>
        </w:tc>
        <w:tc>
          <w:tcPr>
            <w:tcW w:w="945" w:type="dxa"/>
            <w:tcBorders/>
          </w:tcPr>
          <w:p>
            <w:pPr>
              <w:pStyle w:val="Normal"/>
              <w:numPr>
                <w:ilvl w:val="0"/>
                <w:numId w:val="0"/>
              </w:numPr>
              <w:ind w:hanging="0" w:start="0"/>
              <w:jc w:val="center"/>
              <w:rPr/>
            </w:pPr>
            <w:r>
              <w:rPr>
                <w:rStyle w:val="LineNumber"/>
              </w:rPr>
              <w:t>747</w:t>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0</w:t>
            </w:r>
          </w:p>
        </w:tc>
      </w:tr>
      <w:tr>
        <w:trPr>
          <w:trHeight w:val="262" w:hRule="atLeast"/>
        </w:trPr>
        <w:tc>
          <w:tcPr>
            <w:tcW w:w="3166" w:type="dxa"/>
            <w:tcBorders/>
          </w:tcPr>
          <w:p>
            <w:pPr>
              <w:pStyle w:val="Normal"/>
              <w:numPr>
                <w:ilvl w:val="0"/>
                <w:numId w:val="0"/>
              </w:numPr>
              <w:ind w:hanging="0" w:start="0"/>
              <w:rPr/>
            </w:pPr>
            <w:r>
              <w:rPr>
                <w:rStyle w:val="LineNumber"/>
              </w:rPr>
              <w:t>2-Year Surcharge Begins Jan. 2004</w:t>
            </w:r>
          </w:p>
        </w:tc>
        <w:tc>
          <w:tcPr>
            <w:tcW w:w="957"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6"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45" w:type="dxa"/>
            <w:tcBorders/>
          </w:tcPr>
          <w:p>
            <w:pPr>
              <w:pStyle w:val="Normal"/>
              <w:numPr>
                <w:ilvl w:val="0"/>
                <w:numId w:val="0"/>
              </w:numPr>
              <w:ind w:hanging="0" w:start="0"/>
              <w:jc w:val="center"/>
              <w:rPr/>
            </w:pPr>
            <w:r>
              <w:rPr>
                <w:rStyle w:val="LineNumber"/>
              </w:rPr>
              <w:t>$0.061</w:t>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$0.061</w:t>
            </w:r>
          </w:p>
        </w:tc>
      </w:tr>
      <w:tr>
        <w:trPr>
          <w:trHeight w:val="262" w:hRule="atLeast"/>
        </w:trPr>
        <w:tc>
          <w:tcPr>
            <w:tcW w:w="3166" w:type="dxa"/>
            <w:tcBorders/>
          </w:tcPr>
          <w:p>
            <w:pPr>
              <w:pStyle w:val="Normal"/>
              <w:numPr>
                <w:ilvl w:val="0"/>
                <w:numId w:val="0"/>
              </w:numPr>
              <w:ind w:hanging="0" w:start="0"/>
              <w:rPr/>
            </w:pPr>
            <w:r>
              <w:rPr>
                <w:rStyle w:val="LineNumber"/>
              </w:rPr>
              <w:t>Monthly Bill Impact @ 500 kWh</w:t>
            </w:r>
          </w:p>
        </w:tc>
        <w:tc>
          <w:tcPr>
            <w:tcW w:w="957"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6"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45" w:type="dxa"/>
            <w:tcBorders/>
          </w:tcPr>
          <w:p>
            <w:pPr>
              <w:pStyle w:val="Normal"/>
              <w:numPr>
                <w:ilvl w:val="0"/>
                <w:numId w:val="0"/>
              </w:numPr>
              <w:ind w:hanging="0" w:start="0"/>
              <w:jc w:val="center"/>
              <w:rPr/>
            </w:pPr>
            <w:r>
              <w:rPr>
                <w:rStyle w:val="LineNumber"/>
              </w:rPr>
              <w:t xml:space="preserve">$30.70 </w:t>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 xml:space="preserve">$30.70 </w:t>
            </w:r>
          </w:p>
        </w:tc>
      </w:tr>
      <w:tr>
        <w:trPr>
          <w:trHeight w:val="262" w:hRule="atLeast"/>
        </w:trPr>
        <w:tc>
          <w:tcPr>
            <w:tcW w:w="3166" w:type="dxa"/>
            <w:tcBorders/>
          </w:tcPr>
          <w:p>
            <w:pPr>
              <w:pStyle w:val="Normal"/>
              <w:numPr>
                <w:ilvl w:val="0"/>
                <w:numId w:val="0"/>
              </w:numPr>
              <w:snapToGrid w:val="false"/>
              <w:ind w:hanging="0" w:start="0"/>
              <w:rPr>
                <w:rStyle w:val="LineNumber"/>
              </w:rPr>
            </w:pPr>
            <w:r>
              <w:rPr/>
            </w:r>
          </w:p>
        </w:tc>
        <w:tc>
          <w:tcPr>
            <w:tcW w:w="957"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6"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45"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r>
      <w:tr>
        <w:trPr>
          <w:trHeight w:val="262" w:hRule="atLeast"/>
        </w:trPr>
        <w:tc>
          <w:tcPr>
            <w:tcW w:w="3166" w:type="dxa"/>
            <w:tcBorders/>
          </w:tcPr>
          <w:p>
            <w:pPr>
              <w:pStyle w:val="Heading7"/>
              <w:numPr>
                <w:ilvl w:val="0"/>
                <w:numId w:val="0"/>
              </w:numPr>
              <w:ind w:hanging="0" w:start="0"/>
              <w:rPr/>
            </w:pPr>
            <w:r>
              <w:rPr>
                <w:rStyle w:val="LineNumber"/>
              </w:rPr>
              <w:t>Freeze 6.5 cents/kWh Only</w:t>
            </w:r>
          </w:p>
        </w:tc>
        <w:tc>
          <w:tcPr>
            <w:tcW w:w="957" w:type="dxa"/>
            <w:tcBorders/>
          </w:tcPr>
          <w:p>
            <w:pPr>
              <w:pStyle w:val="Normal"/>
              <w:numPr>
                <w:ilvl w:val="0"/>
                <w:numId w:val="0"/>
              </w:numPr>
              <w:ind w:hanging="0" w:start="0"/>
              <w:jc w:val="center"/>
              <w:rPr/>
            </w:pPr>
            <w:r>
              <w:rPr>
                <w:rStyle w:val="LineNumber"/>
              </w:rPr>
              <w:t>1,070</w:t>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1,332</w:t>
            </w:r>
          </w:p>
        </w:tc>
        <w:tc>
          <w:tcPr>
            <w:tcW w:w="196"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1,426</w:t>
            </w:r>
          </w:p>
        </w:tc>
        <w:tc>
          <w:tcPr>
            <w:tcW w:w="197" w:type="dxa"/>
            <w:tcBorders/>
          </w:tcPr>
          <w:p>
            <w:pPr>
              <w:pStyle w:val="Normal"/>
              <w:numPr>
                <w:ilvl w:val="0"/>
                <w:numId w:val="0"/>
              </w:numPr>
              <w:snapToGrid w:val="false"/>
              <w:ind w:hanging="0" w:start="0"/>
              <w:jc w:val="center"/>
              <w:rPr>
                <w:rStyle w:val="LineNumber"/>
              </w:rPr>
            </w:pPr>
            <w:r>
              <w:rPr/>
            </w:r>
          </w:p>
        </w:tc>
        <w:tc>
          <w:tcPr>
            <w:tcW w:w="945" w:type="dxa"/>
            <w:tcBorders/>
          </w:tcPr>
          <w:p>
            <w:pPr>
              <w:pStyle w:val="Normal"/>
              <w:numPr>
                <w:ilvl w:val="0"/>
                <w:numId w:val="0"/>
              </w:numPr>
              <w:ind w:hanging="0" w:start="0"/>
              <w:jc w:val="center"/>
              <w:rPr/>
            </w:pPr>
            <w:r>
              <w:rPr>
                <w:rStyle w:val="LineNumber"/>
              </w:rPr>
              <w:t>736</w:t>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0</w:t>
            </w:r>
          </w:p>
        </w:tc>
      </w:tr>
      <w:tr>
        <w:trPr>
          <w:trHeight w:val="262" w:hRule="atLeast"/>
        </w:trPr>
        <w:tc>
          <w:tcPr>
            <w:tcW w:w="3166" w:type="dxa"/>
            <w:tcBorders/>
          </w:tcPr>
          <w:p>
            <w:pPr>
              <w:pStyle w:val="Normal"/>
              <w:numPr>
                <w:ilvl w:val="0"/>
                <w:numId w:val="0"/>
              </w:numPr>
              <w:ind w:hanging="0" w:start="0"/>
              <w:rPr/>
            </w:pPr>
            <w:r>
              <w:rPr>
                <w:rStyle w:val="LineNumber"/>
              </w:rPr>
              <w:t>2-Year Surcharge Begins Jan. 2004</w:t>
            </w:r>
          </w:p>
        </w:tc>
        <w:tc>
          <w:tcPr>
            <w:tcW w:w="957"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6"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45" w:type="dxa"/>
            <w:tcBorders/>
          </w:tcPr>
          <w:p>
            <w:pPr>
              <w:pStyle w:val="Normal"/>
              <w:numPr>
                <w:ilvl w:val="0"/>
                <w:numId w:val="0"/>
              </w:numPr>
              <w:ind w:hanging="0" w:start="0"/>
              <w:jc w:val="center"/>
              <w:rPr/>
            </w:pPr>
            <w:r>
              <w:rPr>
                <w:rStyle w:val="LineNumber"/>
              </w:rPr>
              <w:t>$0.060</w:t>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$0.060</w:t>
            </w:r>
          </w:p>
        </w:tc>
      </w:tr>
      <w:tr>
        <w:trPr>
          <w:trHeight w:val="262" w:hRule="atLeast"/>
        </w:trPr>
        <w:tc>
          <w:tcPr>
            <w:tcW w:w="3166" w:type="dxa"/>
            <w:tcBorders/>
          </w:tcPr>
          <w:p>
            <w:pPr>
              <w:pStyle w:val="Normal"/>
              <w:numPr>
                <w:ilvl w:val="0"/>
                <w:numId w:val="0"/>
              </w:numPr>
              <w:ind w:hanging="0" w:start="0"/>
              <w:rPr/>
            </w:pPr>
            <w:r>
              <w:rPr>
                <w:rStyle w:val="LineNumber"/>
              </w:rPr>
              <w:t>Monthly Bill Impact @ 500 kWh</w:t>
            </w:r>
          </w:p>
        </w:tc>
        <w:tc>
          <w:tcPr>
            <w:tcW w:w="957"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6"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45" w:type="dxa"/>
            <w:tcBorders/>
          </w:tcPr>
          <w:p>
            <w:pPr>
              <w:pStyle w:val="Normal"/>
              <w:numPr>
                <w:ilvl w:val="0"/>
                <w:numId w:val="0"/>
              </w:numPr>
              <w:ind w:hanging="0" w:start="0"/>
              <w:jc w:val="center"/>
              <w:rPr/>
            </w:pPr>
            <w:r>
              <w:rPr>
                <w:rStyle w:val="LineNumber"/>
              </w:rPr>
              <w:t>$30.20</w:t>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$30.20</w:t>
            </w:r>
          </w:p>
        </w:tc>
      </w:tr>
      <w:tr>
        <w:trPr>
          <w:trHeight w:val="262" w:hRule="atLeast"/>
        </w:trPr>
        <w:tc>
          <w:tcPr>
            <w:tcW w:w="3166" w:type="dxa"/>
            <w:tcBorders/>
          </w:tcPr>
          <w:p>
            <w:pPr>
              <w:pStyle w:val="Normal"/>
              <w:numPr>
                <w:ilvl w:val="0"/>
                <w:numId w:val="0"/>
              </w:numPr>
              <w:snapToGrid w:val="false"/>
              <w:ind w:hanging="0" w:start="0"/>
              <w:jc w:val="end"/>
              <w:rPr>
                <w:rStyle w:val="LineNumber"/>
              </w:rPr>
            </w:pPr>
            <w:r>
              <w:rPr/>
            </w:r>
          </w:p>
        </w:tc>
        <w:tc>
          <w:tcPr>
            <w:tcW w:w="957"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6"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45" w:type="dxa"/>
            <w:tcBorders/>
          </w:tcPr>
          <w:p>
            <w:pPr>
              <w:pStyle w:val="Normal"/>
              <w:numPr>
                <w:ilvl w:val="0"/>
                <w:numId w:val="0"/>
              </w:numPr>
              <w:snapToGrid w:val="false"/>
              <w:ind w:hanging="0" w:start="0"/>
              <w:jc w:val="center"/>
              <w:rPr>
                <w:rStyle w:val="LineNumber"/>
              </w:rPr>
            </w:pPr>
            <w:r>
              <w:rPr/>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snapToGrid w:val="false"/>
              <w:ind w:hanging="0" w:start="0"/>
              <w:jc w:val="center"/>
              <w:rPr>
                <w:rStyle w:val="LineNumber"/>
              </w:rPr>
            </w:pPr>
            <w:r>
              <w:rPr/>
            </w:r>
          </w:p>
        </w:tc>
      </w:tr>
      <w:tr>
        <w:trPr>
          <w:trHeight w:val="262" w:hRule="atLeast"/>
        </w:trPr>
        <w:tc>
          <w:tcPr>
            <w:tcW w:w="3166" w:type="dxa"/>
            <w:tcBorders/>
          </w:tcPr>
          <w:p>
            <w:pPr>
              <w:pStyle w:val="Heading7"/>
              <w:numPr>
                <w:ilvl w:val="0"/>
                <w:numId w:val="0"/>
              </w:numPr>
              <w:ind w:hanging="0" w:start="0"/>
              <w:rPr/>
            </w:pPr>
            <w:r>
              <w:rPr>
                <w:rStyle w:val="LineNumber"/>
              </w:rPr>
              <w:t>With 2.3 cents/kWh Surcharge</w:t>
            </w:r>
          </w:p>
        </w:tc>
        <w:tc>
          <w:tcPr>
            <w:tcW w:w="957" w:type="dxa"/>
            <w:tcBorders/>
          </w:tcPr>
          <w:p>
            <w:pPr>
              <w:pStyle w:val="Normal"/>
              <w:numPr>
                <w:ilvl w:val="0"/>
                <w:numId w:val="0"/>
              </w:numPr>
              <w:ind w:hanging="0" w:start="0"/>
              <w:jc w:val="center"/>
              <w:rPr/>
            </w:pPr>
            <w:r>
              <w:rPr>
                <w:rStyle w:val="LineNumber"/>
              </w:rPr>
              <w:t>855</w:t>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839</w:t>
            </w:r>
          </w:p>
        </w:tc>
        <w:tc>
          <w:tcPr>
            <w:tcW w:w="196"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631</w:t>
            </w:r>
          </w:p>
        </w:tc>
        <w:tc>
          <w:tcPr>
            <w:tcW w:w="197" w:type="dxa"/>
            <w:tcBorders/>
          </w:tcPr>
          <w:p>
            <w:pPr>
              <w:pStyle w:val="Normal"/>
              <w:numPr>
                <w:ilvl w:val="0"/>
                <w:numId w:val="0"/>
              </w:numPr>
              <w:snapToGrid w:val="false"/>
              <w:ind w:hanging="0" w:start="0"/>
              <w:jc w:val="center"/>
              <w:rPr>
                <w:rStyle w:val="LineNumber"/>
              </w:rPr>
            </w:pPr>
            <w:r>
              <w:rPr/>
            </w:r>
          </w:p>
        </w:tc>
        <w:tc>
          <w:tcPr>
            <w:tcW w:w="945" w:type="dxa"/>
            <w:tcBorders/>
          </w:tcPr>
          <w:p>
            <w:pPr>
              <w:pStyle w:val="Normal"/>
              <w:numPr>
                <w:ilvl w:val="0"/>
                <w:numId w:val="0"/>
              </w:numPr>
              <w:ind w:hanging="0" w:start="0"/>
              <w:jc w:val="center"/>
              <w:rPr/>
            </w:pPr>
            <w:r>
              <w:rPr>
                <w:rStyle w:val="LineNumber"/>
              </w:rPr>
              <w:t>326</w:t>
            </w:r>
          </w:p>
        </w:tc>
        <w:tc>
          <w:tcPr>
            <w:tcW w:w="197" w:type="dxa"/>
            <w:tcBorders/>
          </w:tcPr>
          <w:p>
            <w:pPr>
              <w:pStyle w:val="Normal"/>
              <w:numPr>
                <w:ilvl w:val="0"/>
                <w:numId w:val="0"/>
              </w:numPr>
              <w:snapToGrid w:val="false"/>
              <w:ind w:hanging="0" w:start="0"/>
              <w:jc w:val="center"/>
              <w:rPr>
                <w:rStyle w:val="LineNumber"/>
              </w:rPr>
            </w:pPr>
            <w:r>
              <w:rPr/>
            </w:r>
          </w:p>
        </w:tc>
        <w:tc>
          <w:tcPr>
            <w:tcW w:w="970" w:type="dxa"/>
            <w:tcBorders/>
          </w:tcPr>
          <w:p>
            <w:pPr>
              <w:pStyle w:val="Normal"/>
              <w:numPr>
                <w:ilvl w:val="0"/>
                <w:numId w:val="0"/>
              </w:numPr>
              <w:ind w:hanging="0" w:start="0"/>
              <w:jc w:val="center"/>
              <w:rPr/>
            </w:pPr>
            <w:r>
              <w:rPr>
                <w:rStyle w:val="LineNumber"/>
              </w:rPr>
              <w:t>0</w:t>
            </w:r>
          </w:p>
        </w:tc>
      </w:tr>
      <w:tr>
        <w:trPr>
          <w:trHeight w:val="262" w:hRule="atLeast"/>
        </w:trPr>
        <w:tc>
          <w:tcPr>
            <w:tcW w:w="3166" w:type="dxa"/>
            <w:tcBorders/>
          </w:tcPr>
          <w:p>
            <w:pPr>
              <w:pStyle w:val="Normal"/>
              <w:numPr>
                <w:ilvl w:val="0"/>
                <w:numId w:val="0"/>
              </w:numPr>
              <w:ind w:hanging="0" w:start="0"/>
              <w:rPr/>
            </w:pPr>
            <w:r>
              <w:rPr>
                <w:rStyle w:val="LineNumber"/>
              </w:rPr>
              <w:t>Surcharge Begins March 2001</w:t>
            </w:r>
          </w:p>
        </w:tc>
        <w:tc>
          <w:tcPr>
            <w:tcW w:w="957" w:type="dxa"/>
            <w:tcBorders/>
          </w:tcPr>
          <w:p>
            <w:pPr>
              <w:pStyle w:val="Normal"/>
              <w:numPr>
                <w:ilvl w:val="0"/>
                <w:numId w:val="0"/>
              </w:numPr>
              <w:ind w:hanging="0" w:start="0"/>
              <w:jc w:val="center"/>
              <w:rPr/>
            </w:pPr>
            <w:r>
              <w:rPr>
                <w:rStyle w:val="LineNumber"/>
              </w:rPr>
              <w:t>$0.023</w:t>
            </w:r>
          </w:p>
        </w:tc>
        <w:tc>
          <w:tcPr>
            <w:tcW w:w="197" w:type="dxa"/>
            <w:tcBorders/>
          </w:tcPr>
          <w:p>
            <w:pPr>
              <w:pStyle w:val="Normal"/>
              <w:numPr>
                <w:ilvl w:val="0"/>
                <w:numId w:val="0"/>
              </w:numPr>
              <w:snapToGrid w:val="false"/>
              <w:ind w:hanging="0" w:start="0"/>
              <w:jc w:val="end"/>
              <w:rPr>
                <w:rStyle w:val="LineNumber"/>
              </w:rPr>
            </w:pPr>
            <w:r>
              <w:rPr/>
            </w:r>
          </w:p>
        </w:tc>
        <w:tc>
          <w:tcPr>
            <w:tcW w:w="970" w:type="dxa"/>
            <w:tcBorders/>
          </w:tcPr>
          <w:p>
            <w:pPr>
              <w:pStyle w:val="Normal"/>
              <w:numPr>
                <w:ilvl w:val="0"/>
                <w:numId w:val="0"/>
              </w:numPr>
              <w:ind w:hanging="0" w:start="0"/>
              <w:jc w:val="center"/>
              <w:rPr/>
            </w:pPr>
            <w:r>
              <w:rPr>
                <w:rStyle w:val="LineNumber"/>
              </w:rPr>
              <w:t>$0.023</w:t>
            </w:r>
          </w:p>
        </w:tc>
        <w:tc>
          <w:tcPr>
            <w:tcW w:w="196" w:type="dxa"/>
            <w:tcBorders/>
          </w:tcPr>
          <w:p>
            <w:pPr>
              <w:pStyle w:val="Normal"/>
              <w:numPr>
                <w:ilvl w:val="0"/>
                <w:numId w:val="0"/>
              </w:numPr>
              <w:snapToGrid w:val="false"/>
              <w:ind w:hanging="0" w:start="0"/>
              <w:jc w:val="end"/>
              <w:rPr>
                <w:rStyle w:val="LineNumber"/>
              </w:rPr>
            </w:pPr>
            <w:r>
              <w:rPr/>
            </w:r>
          </w:p>
        </w:tc>
        <w:tc>
          <w:tcPr>
            <w:tcW w:w="970" w:type="dxa"/>
            <w:tcBorders/>
          </w:tcPr>
          <w:p>
            <w:pPr>
              <w:pStyle w:val="Normal"/>
              <w:numPr>
                <w:ilvl w:val="0"/>
                <w:numId w:val="0"/>
              </w:numPr>
              <w:ind w:hanging="0" w:start="0"/>
              <w:jc w:val="center"/>
              <w:rPr/>
            </w:pPr>
            <w:r>
              <w:rPr>
                <w:rStyle w:val="LineNumber"/>
              </w:rPr>
              <w:t>$0.023</w:t>
            </w:r>
          </w:p>
        </w:tc>
        <w:tc>
          <w:tcPr>
            <w:tcW w:w="197" w:type="dxa"/>
            <w:tcBorders/>
          </w:tcPr>
          <w:p>
            <w:pPr>
              <w:pStyle w:val="Normal"/>
              <w:numPr>
                <w:ilvl w:val="0"/>
                <w:numId w:val="0"/>
              </w:numPr>
              <w:snapToGrid w:val="false"/>
              <w:ind w:hanging="0" w:start="0"/>
              <w:jc w:val="end"/>
              <w:rPr>
                <w:rStyle w:val="LineNumber"/>
              </w:rPr>
            </w:pPr>
            <w:r>
              <w:rPr/>
            </w:r>
          </w:p>
        </w:tc>
        <w:tc>
          <w:tcPr>
            <w:tcW w:w="945" w:type="dxa"/>
            <w:tcBorders/>
          </w:tcPr>
          <w:p>
            <w:pPr>
              <w:pStyle w:val="Normal"/>
              <w:numPr>
                <w:ilvl w:val="0"/>
                <w:numId w:val="0"/>
              </w:numPr>
              <w:ind w:hanging="0" w:start="0"/>
              <w:jc w:val="center"/>
              <w:rPr/>
            </w:pPr>
            <w:r>
              <w:rPr>
                <w:rStyle w:val="LineNumber"/>
              </w:rPr>
              <w:t>$0.023</w:t>
            </w:r>
          </w:p>
        </w:tc>
        <w:tc>
          <w:tcPr>
            <w:tcW w:w="197" w:type="dxa"/>
            <w:tcBorders/>
          </w:tcPr>
          <w:p>
            <w:pPr>
              <w:pStyle w:val="Normal"/>
              <w:numPr>
                <w:ilvl w:val="0"/>
                <w:numId w:val="0"/>
              </w:numPr>
              <w:snapToGrid w:val="false"/>
              <w:ind w:hanging="0" w:start="0"/>
              <w:jc w:val="end"/>
              <w:rPr>
                <w:rStyle w:val="LineNumber"/>
              </w:rPr>
            </w:pPr>
            <w:r>
              <w:rPr/>
            </w:r>
          </w:p>
        </w:tc>
        <w:tc>
          <w:tcPr>
            <w:tcW w:w="970" w:type="dxa"/>
            <w:tcBorders/>
          </w:tcPr>
          <w:p>
            <w:pPr>
              <w:pStyle w:val="Normal"/>
              <w:numPr>
                <w:ilvl w:val="0"/>
                <w:numId w:val="0"/>
              </w:numPr>
              <w:ind w:hanging="0" w:start="0"/>
              <w:jc w:val="center"/>
              <w:rPr/>
            </w:pPr>
            <w:r>
              <w:rPr>
                <w:rStyle w:val="LineNumber"/>
              </w:rPr>
              <w:t>$0.023</w:t>
            </w:r>
          </w:p>
        </w:tc>
      </w:tr>
      <w:tr>
        <w:trPr>
          <w:trHeight w:val="262" w:hRule="atLeast"/>
        </w:trPr>
        <w:tc>
          <w:tcPr>
            <w:tcW w:w="3166" w:type="dxa"/>
            <w:tcBorders/>
          </w:tcPr>
          <w:p>
            <w:pPr>
              <w:pStyle w:val="Normal"/>
              <w:numPr>
                <w:ilvl w:val="0"/>
                <w:numId w:val="0"/>
              </w:numPr>
              <w:ind w:hanging="0" w:start="0"/>
              <w:rPr/>
            </w:pPr>
            <w:r>
              <w:rPr>
                <w:rStyle w:val="LineNumber"/>
              </w:rPr>
              <w:t>Monthly Bill Impact @ 500 kWh</w:t>
            </w:r>
          </w:p>
        </w:tc>
        <w:tc>
          <w:tcPr>
            <w:tcW w:w="957" w:type="dxa"/>
            <w:tcBorders/>
          </w:tcPr>
          <w:p>
            <w:pPr>
              <w:pStyle w:val="Normal"/>
              <w:numPr>
                <w:ilvl w:val="0"/>
                <w:numId w:val="0"/>
              </w:numPr>
              <w:ind w:hanging="0" w:start="0"/>
              <w:jc w:val="center"/>
              <w:rPr/>
            </w:pPr>
            <w:r>
              <w:rPr>
                <w:rStyle w:val="LineNumber"/>
              </w:rPr>
              <w:t>$11.50</w:t>
            </w:r>
          </w:p>
        </w:tc>
        <w:tc>
          <w:tcPr>
            <w:tcW w:w="197" w:type="dxa"/>
            <w:tcBorders/>
          </w:tcPr>
          <w:p>
            <w:pPr>
              <w:pStyle w:val="Normal"/>
              <w:numPr>
                <w:ilvl w:val="0"/>
                <w:numId w:val="0"/>
              </w:numPr>
              <w:snapToGrid w:val="false"/>
              <w:ind w:hanging="0" w:start="0"/>
              <w:jc w:val="end"/>
              <w:rPr>
                <w:rStyle w:val="LineNumber"/>
              </w:rPr>
            </w:pPr>
            <w:r>
              <w:rPr/>
            </w:r>
          </w:p>
        </w:tc>
        <w:tc>
          <w:tcPr>
            <w:tcW w:w="970" w:type="dxa"/>
            <w:tcBorders/>
          </w:tcPr>
          <w:p>
            <w:pPr>
              <w:pStyle w:val="Normal"/>
              <w:numPr>
                <w:ilvl w:val="0"/>
                <w:numId w:val="0"/>
              </w:numPr>
              <w:ind w:hanging="0" w:start="0"/>
              <w:jc w:val="center"/>
              <w:rPr/>
            </w:pPr>
            <w:r>
              <w:rPr>
                <w:rStyle w:val="LineNumber"/>
              </w:rPr>
              <w:t>$11.50</w:t>
            </w:r>
          </w:p>
        </w:tc>
        <w:tc>
          <w:tcPr>
            <w:tcW w:w="196" w:type="dxa"/>
            <w:tcBorders/>
          </w:tcPr>
          <w:p>
            <w:pPr>
              <w:pStyle w:val="Normal"/>
              <w:numPr>
                <w:ilvl w:val="0"/>
                <w:numId w:val="0"/>
              </w:numPr>
              <w:snapToGrid w:val="false"/>
              <w:ind w:hanging="0" w:start="0"/>
              <w:jc w:val="end"/>
              <w:rPr>
                <w:rStyle w:val="LineNumber"/>
              </w:rPr>
            </w:pPr>
            <w:r>
              <w:rPr/>
            </w:r>
          </w:p>
        </w:tc>
        <w:tc>
          <w:tcPr>
            <w:tcW w:w="970" w:type="dxa"/>
            <w:tcBorders/>
          </w:tcPr>
          <w:p>
            <w:pPr>
              <w:pStyle w:val="Normal"/>
              <w:numPr>
                <w:ilvl w:val="0"/>
                <w:numId w:val="0"/>
              </w:numPr>
              <w:ind w:hanging="0" w:start="0"/>
              <w:jc w:val="center"/>
              <w:rPr/>
            </w:pPr>
            <w:r>
              <w:rPr>
                <w:rStyle w:val="LineNumber"/>
              </w:rPr>
              <w:t>$11.50</w:t>
            </w:r>
          </w:p>
        </w:tc>
        <w:tc>
          <w:tcPr>
            <w:tcW w:w="197" w:type="dxa"/>
            <w:tcBorders/>
          </w:tcPr>
          <w:p>
            <w:pPr>
              <w:pStyle w:val="Normal"/>
              <w:numPr>
                <w:ilvl w:val="0"/>
                <w:numId w:val="0"/>
              </w:numPr>
              <w:snapToGrid w:val="false"/>
              <w:ind w:hanging="0" w:start="0"/>
              <w:jc w:val="end"/>
              <w:rPr>
                <w:rStyle w:val="LineNumber"/>
              </w:rPr>
            </w:pPr>
            <w:r>
              <w:rPr/>
            </w:r>
          </w:p>
        </w:tc>
        <w:tc>
          <w:tcPr>
            <w:tcW w:w="945" w:type="dxa"/>
            <w:tcBorders/>
          </w:tcPr>
          <w:p>
            <w:pPr>
              <w:pStyle w:val="Normal"/>
              <w:numPr>
                <w:ilvl w:val="0"/>
                <w:numId w:val="0"/>
              </w:numPr>
              <w:ind w:hanging="0" w:start="0"/>
              <w:jc w:val="center"/>
              <w:rPr/>
            </w:pPr>
            <w:r>
              <w:rPr>
                <w:rStyle w:val="LineNumber"/>
              </w:rPr>
              <w:t>$11.50</w:t>
            </w:r>
          </w:p>
        </w:tc>
        <w:tc>
          <w:tcPr>
            <w:tcW w:w="197" w:type="dxa"/>
            <w:tcBorders/>
          </w:tcPr>
          <w:p>
            <w:pPr>
              <w:pStyle w:val="Normal"/>
              <w:numPr>
                <w:ilvl w:val="0"/>
                <w:numId w:val="0"/>
              </w:numPr>
              <w:snapToGrid w:val="false"/>
              <w:ind w:hanging="0" w:start="0"/>
              <w:jc w:val="end"/>
              <w:rPr>
                <w:rStyle w:val="LineNumber"/>
              </w:rPr>
            </w:pPr>
            <w:r>
              <w:rPr/>
            </w:r>
          </w:p>
        </w:tc>
        <w:tc>
          <w:tcPr>
            <w:tcW w:w="970" w:type="dxa"/>
            <w:tcBorders/>
          </w:tcPr>
          <w:p>
            <w:pPr>
              <w:pStyle w:val="Normal"/>
              <w:numPr>
                <w:ilvl w:val="0"/>
                <w:numId w:val="0"/>
              </w:numPr>
              <w:ind w:hanging="0" w:start="0"/>
              <w:jc w:val="center"/>
              <w:rPr/>
            </w:pPr>
            <w:r>
              <w:rPr>
                <w:rStyle w:val="LineNumber"/>
              </w:rPr>
              <w:t>$11.50</w:t>
            </w:r>
          </w:p>
        </w:tc>
      </w:tr>
    </w:tbl>
    <w:p>
      <w:pPr>
        <w:pStyle w:val="Normal"/>
        <w:numPr>
          <w:ilvl w:val="0"/>
          <w:numId w:val="0"/>
        </w:numPr>
        <w:spacing w:lineRule="auto" w:line="480"/>
        <w:ind w:hanging="0" w:start="0"/>
        <w:rPr>
          <w:rStyle w:val="LineNumber"/>
        </w:rPr>
      </w:pPr>
      <w:r>
        <w:rPr/>
      </w:r>
    </w:p>
    <w:p>
      <w:pPr>
        <w:pStyle w:val="BodyTextIndent2"/>
        <w:numPr>
          <w:ilvl w:val="0"/>
          <w:numId w:val="0"/>
        </w:numPr>
        <w:ind w:firstLine="720" w:start="0" w:end="0"/>
        <w:rPr/>
      </w:pPr>
      <w:r>
        <w:rPr/>
        <w:t>The “present rate” scenario in Table 2 shows that under the current 6.5 cents ceiling, if the undercollection was allowed to continue to grow unabated through 2003, a surcharge of 6.1 cents/kWh would have to be imposed on consumption in 2004 and 2005 in order to eliminate the undercollection balance by the end of 2005.  This would increase average residential customer bills by $31 per month.  This is clearly not the best way to manage this undercollection while providing for reasonable bills for customers.</w:t>
      </w:r>
    </w:p>
    <w:p>
      <w:pPr>
        <w:pStyle w:val="Normal"/>
        <w:numPr>
          <w:ilvl w:val="0"/>
          <w:numId w:val="0"/>
        </w:numPr>
        <w:spacing w:lineRule="auto" w:line="480"/>
        <w:ind w:firstLine="720" w:start="0" w:end="0"/>
        <w:rPr/>
      </w:pPr>
      <w:r>
        <w:rPr/>
        <w:t xml:space="preserve">The “freeze only” scenario in Table 2 assumes that the AB 265 rate ceiling is converted to a fixed cap.  As Table 2 illustrates, under current electric market forecasts, standing alone this change would have only a small effect on reducing the undercollection balance.  </w:t>
      </w:r>
    </w:p>
    <w:p>
      <w:pPr>
        <w:pStyle w:val="Normal"/>
        <w:numPr>
          <w:ilvl w:val="0"/>
          <w:numId w:val="0"/>
        </w:numPr>
        <w:spacing w:lineRule="auto" w:line="480"/>
        <w:ind w:firstLine="720" w:start="0" w:end="0"/>
        <w:rPr/>
      </w:pPr>
      <w:r>
        <w:rPr/>
        <w:t xml:space="preserve">The “surcharge” scenario in Table 2 demonstrates that implementation of a 2.3 cent per kWh RSS on March 1, 2001 continued to December 31, 2005, in addition to a frozen 6.5 cent per kWh cap commodity rate through 2003, would provide for full recovery of the forecasted undercollection in the ERCRSA by year-end 2005.  This, of course, is based on current electric price forecasts. </w:t>
      </w:r>
    </w:p>
    <w:p>
      <w:pPr>
        <w:pStyle w:val="Normal"/>
        <w:ind w:firstLine="720" w:end="0"/>
        <w:rPr/>
      </w:pPr>
      <w:r>
        <w:rPr>
          <w:rStyle w:val="LineNumber"/>
          <w:b/>
        </w:rPr>
        <w:t>5.</w:t>
        <w:tab/>
        <w:t>The Surcharge Will Be Adjusted Twice Per Year</w:t>
      </w:r>
    </w:p>
    <w:p>
      <w:pPr>
        <w:pStyle w:val="Normal"/>
        <w:ind w:start="720" w:end="0"/>
        <w:rPr>
          <w:rStyle w:val="LineNumber"/>
          <w:b/>
        </w:rPr>
      </w:pPr>
      <w:r>
        <w:rPr/>
      </w:r>
    </w:p>
    <w:p>
      <w:pPr>
        <w:pStyle w:val="Normal"/>
        <w:spacing w:lineRule="auto" w:line="480"/>
        <w:ind w:firstLine="720" w:end="0"/>
        <w:rPr/>
      </w:pPr>
      <w:r>
        <w:rPr>
          <w:rStyle w:val="LineNumber"/>
        </w:rPr>
        <w:t>In order to adjust to future changes in forward electric price curves or other inputs to SDG&amp;E’s model, SDG&amp;E proposes that the RSS be adjusted by an advice letter filing semi-annually, as necessary, to fully amortize the undercollection by the end of 2005. This advice letter process would rely on specific new language included in the preliminary statement in SDG&amp;E’s tariffs which would provide definitions of key inputs (mainly, the forward price forecast and any other adjustments to the balancing account obligation) and a detailed explanation of the mechanics producing the revised RSS.  The surcharge would be recalculated twice per year, and would incorporate an updated  forecast of electricity costs, forecasts of sales to and revenues from customers under the AB 265 rate structure, interest charges, and other entries in the balancing account (e.g., supplier refunds).</w:t>
      </w:r>
      <w:r>
        <w:rPr>
          <w:rStyle w:val="LineNumber"/>
          <w:rStyle w:val="FootnoteReference"/>
          <w:vertAlign w:val="superscript"/>
        </w:rPr>
        <w:footnoteReference w:id="5"/>
      </w:r>
      <w:r>
        <w:rPr>
          <w:rStyle w:val="LineNumber"/>
        </w:rPr>
        <w:t xml:space="preserve">  Adjusting the surcharge periodically in this manner will facilitate the goal of “zeroing-out” the balancing account obligation by the end of 2005.  </w:t>
      </w:r>
    </w:p>
    <w:p>
      <w:pPr>
        <w:pStyle w:val="Normal"/>
        <w:ind w:start="1440" w:end="0"/>
        <w:rPr>
          <w:rStyle w:val="LineNumber"/>
        </w:rPr>
      </w:pPr>
      <w:r>
        <w:rPr/>
      </w:r>
      <w:r>
        <w:br w:type="page"/>
      </w:r>
    </w:p>
    <w:p>
      <w:pPr>
        <w:pStyle w:val="Normal"/>
        <w:spacing w:lineRule="auto" w:line="480"/>
        <w:rPr/>
      </w:pPr>
      <w:r>
        <w:rPr>
          <w:rStyle w:val="LineNumber"/>
          <w:b/>
        </w:rPr>
        <w:tab/>
        <w:t>C.</w:t>
        <w:tab/>
        <w:t>Exempting CARE Customers From The Surcharge</w:t>
      </w:r>
    </w:p>
    <w:p>
      <w:pPr>
        <w:pStyle w:val="Heading1"/>
        <w:ind w:firstLine="720" w:start="0" w:end="0"/>
        <w:rPr/>
      </w:pPr>
      <w:r>
        <w:rPr>
          <w:rStyle w:val="LineNumber"/>
          <w:u w:val="none"/>
        </w:rPr>
        <w:t xml:space="preserve">SDG&amp;E requests that the Commission exempt customers on SDG&amp;E’s California Alternate Rates for Energy (CARE) program from the RSS.  These CARE customers would continue to receive the current 15% discount on their entire energy bill. </w:t>
      </w:r>
    </w:p>
    <w:p>
      <w:pPr>
        <w:pStyle w:val="Normal"/>
        <w:spacing w:lineRule="auto" w:line="480"/>
        <w:rPr/>
      </w:pPr>
      <w:r>
        <w:rPr>
          <w:rStyle w:val="LineNumber"/>
        </w:rPr>
        <w:tab/>
        <w:t>Whether or not CARE customers pay the surcharge has a relatively minor effect on remaining customers.  If the Commission disagrees with SDG&amp;E’s proposed exclusion and CARE customers were to pay the surcharge there would be a reduction in the surcharge to other capped customers of 0.11 cents/kWh, resulting in a slightly lower surcharge of 2.2 cents/kWh.  This is simply due to spreading the undercollection over a larger number of customers.</w:t>
      </w:r>
    </w:p>
    <w:p>
      <w:pPr>
        <w:pStyle w:val="Heading1"/>
        <w:ind w:hanging="0" w:start="0"/>
        <w:rPr>
          <w:rStyle w:val="LineNumber"/>
        </w:rPr>
      </w:pPr>
      <w:r>
        <w:rPr/>
      </w:r>
    </w:p>
    <w:p>
      <w:pPr>
        <w:pStyle w:val="Normal"/>
        <w:spacing w:lineRule="auto" w:line="480"/>
        <w:jc w:val="center"/>
        <w:rPr/>
      </w:pPr>
      <w:r>
        <w:rPr>
          <w:rStyle w:val="LineNumber"/>
          <w:b/>
        </w:rPr>
        <w:t xml:space="preserve">II.  Potential Undercollection Offsets </w:t>
      </w:r>
    </w:p>
    <w:p>
      <w:pPr>
        <w:pStyle w:val="BodyTextIndent3"/>
        <w:tabs>
          <w:tab w:val="clear" w:pos="360"/>
          <w:tab w:val="left" w:pos="-90" w:leader="none"/>
        </w:tabs>
        <w:ind w:hanging="0" w:start="0" w:end="0"/>
        <w:jc w:val="start"/>
        <w:rPr/>
      </w:pPr>
      <w:r>
        <w:rPr>
          <w:rStyle w:val="LineNumber"/>
        </w:rPr>
        <w:tab/>
        <w:t xml:space="preserve">SDG&amp;E also proposes to offset any undercollections recorded in the ERCRSA with overcollections from other balancing accounts.  At this time, SDG&amp;E projects that it will have up to approximately $50 million in other balancing accounts to offset against the ERCRSA balance.  While not making a significant contribution to the overall management of the undercollection, this offset is nonetheless helpful in reducing the balance.  Over time, SDG&amp;E will continue to look for other opportunities to offset the undercollection in the ERCRSA with overcollections from other regulatory accounts. </w:t>
      </w:r>
    </w:p>
    <w:p>
      <w:pPr>
        <w:pStyle w:val="Normal"/>
        <w:rPr/>
      </w:pPr>
      <w:r>
        <w:rPr>
          <w:rStyle w:val="LineNumber"/>
        </w:rPr>
        <w:t xml:space="preserve"> </w:t>
      </w:r>
    </w:p>
    <w:p>
      <w:pPr>
        <w:pStyle w:val="BodyTextIndent3"/>
        <w:ind w:hanging="0" w:start="0" w:end="0"/>
        <w:jc w:val="center"/>
        <w:rPr/>
      </w:pPr>
      <w:r>
        <w:rPr>
          <w:rStyle w:val="LineNumber"/>
          <w:b/>
        </w:rPr>
        <w:t>III.</w:t>
        <w:tab/>
        <w:t>Benefits from Imposition of the RSS</w:t>
      </w:r>
    </w:p>
    <w:p>
      <w:pPr>
        <w:pStyle w:val="BodyText"/>
        <w:spacing w:lineRule="auto" w:line="480" w:before="0" w:after="0"/>
        <w:ind w:firstLine="720" w:end="0"/>
        <w:rPr/>
      </w:pPr>
      <w:r>
        <w:rPr>
          <w:rStyle w:val="LineNumber"/>
        </w:rPr>
        <w:t>Residential electric rates and bills will be more stable under the proposed RSS than with AB 265’s present rate ceiling, as illustrated in Table 3 and Figure 1.  With the 6.5-cent ceiling and a subsequent two-year amortization of the undercollection in 2004 and 2005, typical residential bills would increase to $102 in 2004, a jump of 43%.  With current expectations of commodity prices, total monthly electric rates in 2004 would average 20 cents/kWh and could exceed 22 cents during the summer months.</w:t>
      </w:r>
    </w:p>
    <w:p>
      <w:pPr>
        <w:pStyle w:val="BodyText"/>
        <w:spacing w:before="0" w:after="0"/>
        <w:ind w:firstLine="720" w:end="0"/>
        <w:jc w:val="center"/>
        <w:rPr/>
      </w:pPr>
      <w:r>
        <w:rPr>
          <w:rStyle w:val="LineNumber"/>
          <w:b/>
        </w:rPr>
        <w:t>Table 3</w:t>
      </w:r>
    </w:p>
    <w:p>
      <w:pPr>
        <w:pStyle w:val="BodyText"/>
        <w:spacing w:lineRule="auto" w:line="480" w:before="0" w:after="0"/>
        <w:ind w:firstLine="720" w:end="0"/>
        <w:rPr>
          <w:rStyle w:val="LineNumber"/>
          <w:b/>
        </w:rPr>
      </w:pPr>
      <w:r>
        <w:rPr/>
        <w:object w:dxaOrig="8224" w:dyaOrig="954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2.4pt;margin-top:0pt;width:411.2pt;height:477.25pt;mso-wrap-distance-left:9.05pt;mso-wrap-distance-right:9.05pt;mso-position-horizontal-relative:text;mso-position-vertical-relative:text" filled="f" o:ole="">
            <v:imagedata r:id="rId3" o:title=""/>
          </v:shape>
          <o:OLEObject Type="Embed" ProgID="" ShapeID="ole_rId2" DrawAspect="Content" ObjectID="_345945445" r:id="rId2"/>
        </w:object>
      </w:r>
    </w:p>
    <w:p>
      <w:pPr>
        <w:pStyle w:val="BodyText"/>
        <w:spacing w:lineRule="auto" w:line="480" w:before="0" w:after="0"/>
        <w:ind w:firstLine="720" w:end="0"/>
        <w:rPr>
          <w:rStyle w:val="LineNumber"/>
        </w:rPr>
      </w:pPr>
      <w:r>
        <w:rPr/>
      </w:r>
      <w:r>
        <w:br w:type="page"/>
      </w:r>
    </w:p>
    <w:p>
      <w:pPr>
        <w:pStyle w:val="BodyText"/>
        <w:spacing w:lineRule="auto" w:line="480" w:before="0" w:after="0"/>
        <w:ind w:firstLine="720" w:end="0"/>
        <w:rPr/>
      </w:pPr>
      <w:r>
        <w:rPr>
          <w:rStyle w:val="LineNumber"/>
        </w:rPr>
        <w:t>In comparison, a 2.3-cent surcharge would eliminate this 43% price shock and replace it with a more moderate bill increase of $11.50, or 16%, in mid-2001.  Although bills would be $11.50 higher through the end of 2003,  average bills in 2004 and 2005 would be $19 less than under the AB 265 plan and more stable from year to year.</w:t>
      </w:r>
    </w:p>
    <w:p>
      <w:pPr>
        <w:pStyle w:val="BodyText"/>
        <w:jc w:val="center"/>
        <w:rPr/>
      </w:pPr>
      <w:r>
        <w:rPr>
          <w:rStyle w:val="LineNumber"/>
          <w:b/>
        </w:rPr>
        <w:t>Figure 1</w:t>
      </w:r>
      <w:r>
        <mc:AlternateContent>
          <mc:Choice Requires="wps">
            <w:drawing>
              <wp:anchor behindDoc="0" distT="0" distB="0" distL="114935" distR="114935" simplePos="0" locked="0" layoutInCell="1" allowOverlap="1" relativeHeight="8">
                <wp:simplePos x="0" y="0"/>
                <wp:positionH relativeFrom="column">
                  <wp:posOffset>0</wp:posOffset>
                </wp:positionH>
                <wp:positionV relativeFrom="paragraph">
                  <wp:posOffset>327660</wp:posOffset>
                </wp:positionV>
                <wp:extent cx="5114925" cy="3171825"/>
                <wp:effectExtent l="0" t="0" r="0" b="0"/>
                <wp:wrapNone/>
                <wp:docPr id="1" name="Frame1"/>
                <a:graphic xmlns:a="http://schemas.openxmlformats.org/drawingml/2006/main">
                  <a:graphicData uri="http://schemas.microsoft.com/office/word/2010/wordprocessingShape">
                    <wps:wsp>
                      <wps:cNvSpPr txBox="1"/>
                      <wps:spPr>
                        <a:xfrm>
                          <a:off x="0" y="0"/>
                          <a:ext cx="5114925" cy="3171825"/>
                        </a:xfrm>
                        <a:prstGeom prst="rect"/>
                        <a:solidFill>
                          <a:srgbClr val="FFFFFF">
                            <a:alpha val="0"/>
                          </a:srgbClr>
                        </a:solidFill>
                      </wps:spPr>
                      <wps:txbx>
                        <w:txbxContent>
                          <w:p>
                            <w:pPr>
                              <w:pStyle w:val="Normal"/>
                              <w:rPr/>
                            </w:pPr>
                            <w:r>
                              <w:rPr/>
                              <w:object w:dxaOrig="7681" w:dyaOrig="512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02.75pt;height:249.75pt" filled="f" o:ole="">
                                  <v:imagedata r:id="rId5" o:title=""/>
                                </v:shape>
                                <o:OLEObject Type="Embed" ProgID="Excel.Sheet.12" ShapeID="ole_rId4" DrawAspect="Content" ObjectID="_667963129" r:id="rId4"/>
                              </w:object>
                            </w:r>
                          </w:p>
                        </w:txbxContent>
                      </wps:txbx>
                      <wps:bodyPr anchor="t" lIns="635" tIns="635" rIns="635" bIns="635">
                        <a:noAutofit/>
                      </wps:bodyPr>
                    </wps:wsp>
                  </a:graphicData>
                </a:graphic>
              </wp:anchor>
            </w:drawing>
          </mc:Choice>
          <mc:Fallback>
            <w:pict>
              <v:rect fillcolor="#FFFFFF" style="position:absolute;rotation:-0;width:402.75pt;height:249.75pt;mso-wrap-distance-left:9.05pt;mso-wrap-distance-right:9.05pt;mso-wrap-distance-top:0pt;mso-wrap-distance-bottom:0pt;margin-top:25.8pt;mso-position-vertical-relative:text;margin-left:0pt;mso-position-horizontal-relative:text">
                <v:fill opacity="0f"/>
                <v:textbox inset="0.000694444444444445in,0.000694444444444445in,0.000694444444444445in,0.000694444444444445in">
                  <w:txbxContent>
                    <w:p>
                      <w:pPr>
                        <w:pStyle w:val="Normal"/>
                        <w:rPr/>
                      </w:pPr>
                      <w:r>
                        <w:rPr/>
                        <w:object w:dxaOrig="7681" w:dyaOrig="512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02.75pt;height:249.75pt" filled="f" o:ole="">
                            <v:imagedata r:id="rId7" o:title=""/>
                          </v:shape>
                          <o:OLEObject Type="Embed" ProgID="Excel.Sheet.12" ShapeID="ole_rId6" DrawAspect="Content" ObjectID="_526591114" r:id="rId6"/>
                        </w:object>
                      </w:r>
                    </w:p>
                  </w:txbxContent>
                </v:textbox>
                <w10:wrap type="none"/>
              </v:rect>
            </w:pict>
          </mc:Fallback>
        </mc:AlternateContent>
      </w:r>
    </w:p>
    <w:p>
      <w:pPr>
        <w:pStyle w:val="BodyText"/>
        <w:spacing w:lineRule="auto" w:line="480"/>
        <w:ind w:firstLine="720" w:end="0"/>
        <w:rPr>
          <w:rStyle w:val="LineNumber"/>
          <w:b/>
        </w:rPr>
      </w:pPr>
      <w:r>
        <w:rPr/>
      </w:r>
    </w:p>
    <w:p>
      <w:pPr>
        <w:pStyle w:val="BodyText2"/>
        <w:rPr/>
      </w:pPr>
      <w:r>
        <w:rPr>
          <w:rStyle w:val="LineNumber"/>
        </w:rPr>
        <w:t>B.</w:t>
        <w:tab/>
        <w:t>Customer Fairness</w:t>
      </w:r>
    </w:p>
    <w:p>
      <w:pPr>
        <w:pStyle w:val="BodyText2"/>
        <w:rPr>
          <w:rStyle w:val="LineNumber"/>
        </w:rPr>
      </w:pPr>
      <w:r>
        <w:rPr/>
      </w:r>
    </w:p>
    <w:p>
      <w:pPr>
        <w:pStyle w:val="BodyText2"/>
        <w:rPr>
          <w:rStyle w:val="LineNumber"/>
        </w:rPr>
      </w:pPr>
      <w:r>
        <w:rPr/>
      </w:r>
    </w:p>
    <w:p>
      <w:pPr>
        <w:pStyle w:val="BodyText2"/>
        <w:rPr>
          <w:rStyle w:val="LineNumber"/>
        </w:rPr>
      </w:pPr>
      <w:r>
        <w:rPr/>
      </w:r>
    </w:p>
    <w:p>
      <w:pPr>
        <w:pStyle w:val="BodyText2"/>
        <w:rPr>
          <w:rStyle w:val="LineNumber"/>
        </w:rPr>
      </w:pPr>
      <w:r>
        <w:rPr/>
      </w:r>
    </w:p>
    <w:p>
      <w:pPr>
        <w:pStyle w:val="BodyText2"/>
        <w:rPr>
          <w:rStyle w:val="LineNumber"/>
        </w:rPr>
      </w:pPr>
      <w:r>
        <w:rPr/>
      </w:r>
    </w:p>
    <w:p>
      <w:pPr>
        <w:pStyle w:val="BodyText2"/>
        <w:rPr>
          <w:rStyle w:val="LineNumber"/>
        </w:rPr>
      </w:pPr>
      <w:r>
        <w:rPr/>
      </w:r>
    </w:p>
    <w:p>
      <w:pPr>
        <w:pStyle w:val="BodyText2"/>
        <w:rPr>
          <w:rStyle w:val="LineNumber"/>
        </w:rPr>
      </w:pPr>
      <w:r>
        <w:rPr/>
      </w:r>
    </w:p>
    <w:p>
      <w:pPr>
        <w:pStyle w:val="BodyText2"/>
        <w:rPr/>
      </w:pPr>
      <w:r>
        <w:rPr>
          <w:rStyle w:val="LineNumber"/>
        </w:rPr>
        <w:t>By adopting SDG&amp;E’s ratemaking proposals, the payment of energy costs would be more closely aligned with the customers who incurred those costs.  Under the current provisions contained in AB 265, SDG&amp;E’s customers could be left with a balloon payment of $1.45 billion by the end of 2003 unless the Commission adopts SDG&amp;E’s ratemaking proposals.  SDG&amp;E experiences customer turnover in excess of 8% per year (customers leaving or entering SDG&amp;E’s service territory), meaning that within three years, 25% of the customers who contributed to the $1.45 billion undercollection would escape having to pay any of portion of it, while nearly 300,000 new customers would pay more than their fair share.  A surcharge would considerably reduce the level of the undercollection and better align rates with the principle of cost causation.</w:t>
      </w:r>
    </w:p>
    <w:p>
      <w:pPr>
        <w:pStyle w:val="BodyText2"/>
        <w:ind w:start="2880" w:end="0"/>
        <w:rPr>
          <w:rStyle w:val="LineNumber"/>
        </w:rPr>
      </w:pPr>
      <w:r>
        <w:rPr/>
      </w:r>
    </w:p>
    <w:p>
      <w:pPr>
        <w:pStyle w:val="BodyText2"/>
        <w:ind w:hanging="0" w:start="-90" w:end="0"/>
        <w:jc w:val="center"/>
        <w:rPr/>
      </w:pPr>
      <w:r>
        <w:rPr>
          <w:rStyle w:val="LineNumber"/>
          <w:b/>
        </w:rPr>
        <w:t>IV.</w:t>
        <w:tab/>
        <w:t>Rate Tables (Attachment 1 hereto)</w:t>
      </w:r>
    </w:p>
    <w:p>
      <w:pPr>
        <w:pStyle w:val="BodyText2"/>
        <w:ind w:hanging="0" w:end="0"/>
        <w:rPr/>
      </w:pPr>
      <w:r>
        <w:rPr>
          <w:rStyle w:val="LineNumber"/>
        </w:rPr>
        <w:tab/>
        <w:t>Rate tables incorporating the proposed RSS for applicable customer classes are attached as follows:</w:t>
      </w:r>
    </w:p>
    <w:p>
      <w:pPr>
        <w:pStyle w:val="BodyText2"/>
        <w:numPr>
          <w:ilvl w:val="0"/>
          <w:numId w:val="4"/>
        </w:numPr>
        <w:rPr>
          <w:rStyle w:val="LineNumber"/>
        </w:rPr>
      </w:pPr>
      <w:r>
        <w:rPr>
          <w:rStyle w:val="LineNumber"/>
        </w:rPr>
        <w:t>Present and Proposed Rates</w:t>
      </w:r>
    </w:p>
    <w:p>
      <w:pPr>
        <w:pStyle w:val="BodyText2"/>
        <w:numPr>
          <w:ilvl w:val="0"/>
          <w:numId w:val="0"/>
        </w:numPr>
        <w:ind w:hanging="0" w:start="720" w:end="0"/>
        <w:rPr/>
      </w:pPr>
      <w:r>
        <w:rPr>
          <w:rStyle w:val="LineNumber"/>
        </w:rPr>
        <w:t>Residential</w:t>
      </w:r>
    </w:p>
    <w:p>
      <w:pPr>
        <w:pStyle w:val="BodyText2"/>
        <w:numPr>
          <w:ilvl w:val="0"/>
          <w:numId w:val="0"/>
        </w:numPr>
        <w:ind w:hanging="0" w:start="720" w:end="0"/>
        <w:rPr/>
      </w:pPr>
      <w:r>
        <w:rPr>
          <w:rStyle w:val="LineNumber"/>
        </w:rPr>
        <w:t>Commercial and Industrial</w:t>
      </w:r>
    </w:p>
    <w:p>
      <w:pPr>
        <w:pStyle w:val="BodyText2"/>
        <w:numPr>
          <w:ilvl w:val="0"/>
          <w:numId w:val="0"/>
        </w:numPr>
        <w:ind w:hanging="0" w:start="720" w:end="0"/>
        <w:rPr/>
      </w:pPr>
      <w:r>
        <w:rPr>
          <w:rStyle w:val="LineNumber"/>
        </w:rPr>
        <w:t>Lighting</w:t>
      </w:r>
    </w:p>
    <w:p>
      <w:pPr>
        <w:pStyle w:val="BodyText2"/>
        <w:numPr>
          <w:ilvl w:val="0"/>
          <w:numId w:val="4"/>
        </w:numPr>
        <w:rPr>
          <w:rStyle w:val="LineNumber"/>
        </w:rPr>
      </w:pPr>
      <w:r>
        <w:rPr>
          <w:rStyle w:val="LineNumber"/>
        </w:rPr>
        <w:t>Proposed Unbundled Charges</w:t>
      </w:r>
    </w:p>
    <w:p>
      <w:pPr>
        <w:pStyle w:val="BodyText2"/>
        <w:numPr>
          <w:ilvl w:val="0"/>
          <w:numId w:val="0"/>
        </w:numPr>
        <w:ind w:hanging="0" w:start="720" w:end="0"/>
        <w:rPr/>
      </w:pPr>
      <w:r>
        <w:rPr>
          <w:rStyle w:val="LineNumber"/>
        </w:rPr>
        <w:t>Residential</w:t>
      </w:r>
    </w:p>
    <w:p>
      <w:pPr>
        <w:pStyle w:val="BodyText2"/>
        <w:numPr>
          <w:ilvl w:val="0"/>
          <w:numId w:val="0"/>
        </w:numPr>
        <w:ind w:hanging="0" w:start="720" w:end="0"/>
        <w:rPr/>
      </w:pPr>
      <w:r>
        <w:rPr>
          <w:rStyle w:val="LineNumber"/>
        </w:rPr>
        <w:t>Commercial and Industrial</w:t>
      </w:r>
    </w:p>
    <w:p>
      <w:pPr>
        <w:pStyle w:val="BodyText2"/>
        <w:numPr>
          <w:ilvl w:val="0"/>
          <w:numId w:val="0"/>
        </w:numPr>
        <w:ind w:hanging="0" w:start="720" w:end="0"/>
        <w:rPr/>
      </w:pPr>
      <w:r>
        <w:rPr>
          <w:rStyle w:val="LineNumber"/>
        </w:rPr>
        <w:t>Lighting</w:t>
      </w:r>
    </w:p>
    <w:p>
      <w:pPr>
        <w:pStyle w:val="BodyText2"/>
        <w:numPr>
          <w:ilvl w:val="0"/>
          <w:numId w:val="4"/>
        </w:numPr>
        <w:rPr>
          <w:rStyle w:val="LineNumber"/>
        </w:rPr>
      </w:pPr>
      <w:r>
        <w:rPr>
          <w:rStyle w:val="LineNumber"/>
        </w:rPr>
        <w:t>Typical Monthly Bills at Present and Proposed Rates</w:t>
      </w:r>
    </w:p>
    <w:p>
      <w:pPr>
        <w:pStyle w:val="BodyText2"/>
        <w:ind w:hanging="0" w:start="720" w:end="0"/>
        <w:rPr/>
      </w:pPr>
      <w:r>
        <w:rPr>
          <w:rStyle w:val="LineNumber"/>
        </w:rPr>
        <w:t>Residential</w:t>
      </w:r>
    </w:p>
    <w:p>
      <w:pPr>
        <w:pStyle w:val="BodyText2"/>
        <w:ind w:hanging="0" w:start="720" w:end="0"/>
        <w:rPr/>
      </w:pPr>
      <w:r>
        <w:rPr>
          <w:rStyle w:val="LineNumber"/>
        </w:rPr>
        <w:t>Commercial Secondary</w:t>
      </w:r>
    </w:p>
    <w:p>
      <w:pPr>
        <w:pStyle w:val="BodyText2"/>
        <w:ind w:hanging="0" w:start="720" w:end="0"/>
        <w:rPr/>
      </w:pPr>
      <w:r>
        <w:rPr>
          <w:rStyle w:val="LineNumber"/>
        </w:rPr>
        <w:t>Commercial Primary</w:t>
      </w:r>
    </w:p>
    <w:p>
      <w:pPr>
        <w:pStyle w:val="BodyText2"/>
        <w:spacing w:lineRule="auto" w:line="240"/>
        <w:ind w:hanging="720" w:start="720" w:end="0"/>
        <w:jc w:val="center"/>
        <w:rPr/>
      </w:pPr>
      <w:r>
        <w:rPr>
          <w:rStyle w:val="LineNumber"/>
          <w:b/>
        </w:rPr>
        <w:t>V.</w:t>
        <w:tab/>
        <w:t xml:space="preserve">Supporting Tables for Monthly Accrual of </w:t>
        <w:br/>
        <w:t>Undercollection (Attachment 2 hereto)</w:t>
      </w:r>
    </w:p>
    <w:p>
      <w:pPr>
        <w:pStyle w:val="BodyText2"/>
        <w:ind w:hanging="0" w:start="720" w:end="0"/>
        <w:rPr>
          <w:rStyle w:val="LineNumber"/>
          <w:b/>
        </w:rPr>
      </w:pPr>
      <w:r>
        <w:rPr/>
      </w:r>
    </w:p>
    <w:sectPr>
      <w:footerReference w:type="default" r:id="rId8"/>
      <w:footnotePr>
        <w:numFmt w:val="decimal"/>
      </w:footnotePr>
      <w:type w:val="nextPage"/>
      <w:pgSz w:w="12240" w:h="15840"/>
      <w:pgMar w:left="1800" w:right="1800" w:gutter="0" w:header="0" w:top="1440" w:footer="720" w:bottom="1296"/>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389255" cy="161925"/>
              <wp:effectExtent l="0" t="0" r="0" b="0"/>
              <wp:wrapSquare wrapText="bothSides"/>
              <wp:docPr id="2" name="Frame2"/>
              <a:graphic xmlns:a="http://schemas.openxmlformats.org/drawingml/2006/main">
                <a:graphicData uri="http://schemas.microsoft.com/office/word/2010/wordprocessingShape">
                  <wps:wsp>
                    <wps:cNvSpPr txBox="1"/>
                    <wps:spPr>
                      <a:xfrm>
                        <a:off x="0" y="0"/>
                        <a:ext cx="389255" cy="161925"/>
                      </a:xfrm>
                      <a:prstGeom prst="rect"/>
                      <a:solidFill>
                        <a:srgbClr val="FFFFFF">
                          <a:alpha val="0"/>
                        </a:srgbClr>
                      </a:solidFill>
                    </wps:spPr>
                    <wps:txbx>
                      <w:txbxContent>
                        <w:p>
                          <w:pPr>
                            <w:pStyle w:val="Footer"/>
                            <w:rPr>
                              <w:rStyle w:val="PageNumber"/>
                              <w:sz w:val="22"/>
                            </w:rPr>
                          </w:pPr>
                          <w:r>
                            <w:rPr>
                              <w:rStyle w:val="PageNumber"/>
                              <w:sz w:val="22"/>
                            </w:rPr>
                            <w:t>MS-</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30.65pt;height:12.75pt;mso-wrap-distance-left:0pt;mso-wrap-distance-right:0pt;mso-wrap-distance-top:0pt;mso-wrap-distance-bottom:0pt;margin-top:0.05pt;mso-position-vertical-relative:text;margin-left:200.7pt;mso-position-horizontal:center;mso-position-horizontal-relative:margin">
              <v:fill opacity="0f"/>
              <v:textbox inset="0in,0in,0in,0in">
                <w:txbxContent>
                  <w:p>
                    <w:pPr>
                      <w:pStyle w:val="Footer"/>
                      <w:rPr>
                        <w:rStyle w:val="PageNumber"/>
                        <w:sz w:val="22"/>
                      </w:rPr>
                    </w:pPr>
                    <w:r>
                      <w:rPr>
                        <w:rStyle w:val="PageNumber"/>
                        <w:sz w:val="22"/>
                      </w:rPr>
                      <w:t>MS-</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The net undercollection is the Energy Rate Ceiling Revenue Shortfall Account (ERCRSA) less TCBA overcollections and retained generation revenues allocated to the customers under the rate ceiling.</w:t>
      </w:r>
    </w:p>
  </w:footnote>
  <w:footnote w:id="3">
    <w:p>
      <w:pPr>
        <w:pStyle w:val="FootnoteText"/>
        <w:rPr/>
      </w:pPr>
      <w:r>
        <w:rPr>
          <w:rStyle w:val="FootnoteCharacters"/>
        </w:rPr>
        <w:footnoteRef/>
      </w:r>
      <w:r>
        <w:rPr/>
        <w:t xml:space="preserve"> </w:t>
      </w:r>
      <w:r>
        <w:rPr/>
        <w:t>This is $1.45 billion times 60% (which is the residential portion of the total consumption affected by the AB 265 rate ceiling) divided by 1.1 million residential customers.</w:t>
      </w:r>
    </w:p>
  </w:footnote>
  <w:footnote w:id="4">
    <w:p>
      <w:pPr>
        <w:pStyle w:val="FootnoteText"/>
        <w:rPr/>
      </w:pPr>
      <w:r>
        <w:rPr>
          <w:rStyle w:val="FootnoteCharacters"/>
        </w:rPr>
        <w:footnoteRef/>
      </w:r>
      <w:r>
        <w:rPr/>
        <w:t xml:space="preserve"> </w:t>
      </w:r>
      <w:r>
        <w:rPr/>
        <w:t>CARE stands for California Alternate Rates for Energy and the rate is available to qualifying low income customers.</w:t>
      </w:r>
    </w:p>
  </w:footnote>
  <w:footnote w:id="5">
    <w:p>
      <w:pPr>
        <w:pStyle w:val="FootnoteText"/>
        <w:rPr/>
      </w:pPr>
      <w:r>
        <w:rPr>
          <w:rStyle w:val="FootnoteCharacters"/>
        </w:rPr>
        <w:footnoteRef/>
      </w:r>
      <w:r>
        <w:rPr/>
        <w:t xml:space="preserve"> </w:t>
      </w:r>
      <w:r>
        <w:rPr/>
        <w:t xml:space="preserve">SDG&amp;E’s preliminary statement will be changed to reflect the recalculation process as follows: </w:t>
      </w:r>
    </w:p>
    <w:p>
      <w:pPr>
        <w:pStyle w:val="FootnoteText"/>
        <w:rPr/>
      </w:pPr>
      <w:r>
        <w:rPr/>
        <w:t>New RSS = Updated monthly forecasted prices less 6.5 cents/kWh times AB 265 customer sales plus interest less CTC revenue from AB 265 customers and other changes in the balancing account obligation.</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080"/>
        </w:tabs>
        <w:ind w:start="1800" w:hanging="1080"/>
      </w:pPr>
    </w:lvl>
  </w:abstractNum>
  <w:abstractNum w:abstractNumId="3">
    <w:lvl w:ilvl="0">
      <w:start w:val="2"/>
      <w:numFmt w:val="upperLetter"/>
      <w:lvlText w:val="%1."/>
      <w:lvlJc w:val="start"/>
      <w:pPr>
        <w:tabs>
          <w:tab w:val="num" w:pos="720"/>
        </w:tabs>
        <w:ind w:start="720" w:hanging="720"/>
      </w:pPr>
      <w:rPr>
        <w:b/>
      </w:rPr>
    </w:lvl>
  </w:abstractNum>
  <w:abstractNum w:abstractNumId="4">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docVars>
    <w:docVar w:name="iTrailerType" w:val="0"/>
    <w:docVar w:name="MarkCheckBox" w:val="TRUE"/>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sz w:val="24"/>
      <w:u w:val="single"/>
    </w:rPr>
  </w:style>
  <w:style w:type="paragraph" w:styleId="Heading2">
    <w:name w:val="heading 2"/>
    <w:basedOn w:val="Normal"/>
    <w:next w:val="Normal"/>
    <w:qFormat/>
    <w:pPr>
      <w:keepNext w:val="true"/>
      <w:numPr>
        <w:ilvl w:val="1"/>
        <w:numId w:val="1"/>
      </w:numPr>
      <w:spacing w:lineRule="auto" w:line="480"/>
      <w:outlineLvl w:val="1"/>
    </w:pPr>
    <w:rPr>
      <w:sz w:val="24"/>
    </w:rPr>
  </w:style>
  <w:style w:type="paragraph" w:styleId="Heading3">
    <w:name w:val="heading 3"/>
    <w:basedOn w:val="Normal"/>
    <w:next w:val="Normal"/>
    <w:qFormat/>
    <w:pPr>
      <w:keepNext w:val="true"/>
      <w:numPr>
        <w:ilvl w:val="2"/>
        <w:numId w:val="1"/>
      </w:numPr>
      <w:spacing w:lineRule="auto" w:line="480"/>
      <w:ind w:firstLine="720" w:start="0" w:end="0"/>
      <w:jc w:val="center"/>
      <w:outlineLvl w:val="2"/>
    </w:pPr>
    <w:rPr>
      <w:sz w:val="24"/>
    </w:rPr>
  </w:style>
  <w:style w:type="paragraph" w:styleId="Heading4">
    <w:name w:val="heading 4"/>
    <w:basedOn w:val="Normal"/>
    <w:next w:val="Normal"/>
    <w:qFormat/>
    <w:pPr>
      <w:keepNext w:val="true"/>
      <w:numPr>
        <w:ilvl w:val="3"/>
        <w:numId w:val="1"/>
      </w:numPr>
      <w:ind w:firstLine="720" w:start="0" w:end="0"/>
      <w:outlineLvl w:val="3"/>
    </w:pPr>
    <w:rPr>
      <w:sz w:val="24"/>
    </w:rPr>
  </w:style>
  <w:style w:type="paragraph" w:styleId="Heading5">
    <w:name w:val="heading 5"/>
    <w:basedOn w:val="Normal"/>
    <w:next w:val="Normal"/>
    <w:qFormat/>
    <w:pPr>
      <w:keepNext w:val="true"/>
      <w:numPr>
        <w:ilvl w:val="4"/>
        <w:numId w:val="1"/>
      </w:numPr>
      <w:ind w:firstLine="720" w:start="1440" w:end="0"/>
      <w:outlineLvl w:val="4"/>
    </w:pPr>
    <w:rPr>
      <w:sz w:val="24"/>
      <w:u w:val="single"/>
    </w:rPr>
  </w:style>
  <w:style w:type="paragraph" w:styleId="Heading6">
    <w:name w:val="heading 6"/>
    <w:basedOn w:val="Normal"/>
    <w:next w:val="Normal"/>
    <w:qFormat/>
    <w:pPr>
      <w:keepNext w:val="true"/>
      <w:numPr>
        <w:ilvl w:val="5"/>
        <w:numId w:val="1"/>
      </w:numPr>
      <w:ind w:firstLine="720" w:start="4320" w:end="0"/>
      <w:outlineLvl w:val="5"/>
    </w:pPr>
    <w:rPr/>
  </w:style>
  <w:style w:type="paragraph" w:styleId="Heading7">
    <w:name w:val="heading 7"/>
    <w:basedOn w:val="Normal"/>
    <w:next w:val="Normal"/>
    <w:qFormat/>
    <w:pPr>
      <w:keepNext w:val="true"/>
      <w:numPr>
        <w:ilvl w:val="6"/>
        <w:numId w:val="1"/>
      </w:numPr>
      <w:outlineLvl w:val="6"/>
    </w:pPr>
    <w:rPr>
      <w:b/>
      <w:i/>
      <w:color w:val="000000"/>
    </w:rPr>
  </w:style>
  <w:style w:type="paragraph" w:styleId="Heading8">
    <w:name w:val="heading 8"/>
    <w:basedOn w:val="Normal"/>
    <w:next w:val="Normal"/>
    <w:qFormat/>
    <w:pPr>
      <w:keepNext w:val="true"/>
      <w:numPr>
        <w:ilvl w:val="7"/>
        <w:numId w:val="1"/>
      </w:numPr>
      <w:outlineLvl w:val="7"/>
    </w:pPr>
    <w:rPr>
      <w:b/>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rFonts w:ascii="Times New Roman" w:hAnsi="Times New Roman" w:cs="Times New Roman"/>
      <w:sz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sz w:val="24"/>
      <w:u w:val="single"/>
    </w:rPr>
  </w:style>
  <w:style w:type="paragraph" w:styleId="BodyText">
    <w:name w:val="Body Text"/>
    <w:basedOn w:val="Normal"/>
    <w:pPr>
      <w:spacing w:before="0" w:after="2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ind w:firstLine="720" w:start="0" w:end="0"/>
    </w:pPr>
    <w:rPr/>
  </w:style>
  <w:style w:type="paragraph" w:styleId="BodyTextIndent2">
    <w:name w:val="Body Text Indent 2"/>
    <w:basedOn w:val="Normal"/>
    <w:qFormat/>
    <w:pPr>
      <w:spacing w:lineRule="auto" w:line="480"/>
      <w:ind w:firstLine="720" w:start="0" w:end="0"/>
    </w:pPr>
    <w:rPr>
      <w:sz w:val="24"/>
    </w:rPr>
  </w:style>
  <w:style w:type="paragraph" w:styleId="BodyTextIndent3">
    <w:name w:val="Body Text Indent 3"/>
    <w:basedOn w:val="Normal"/>
    <w:qFormat/>
    <w:pPr>
      <w:widowControl w:val="false"/>
      <w:tabs>
        <w:tab w:val="clear" w:pos="720"/>
        <w:tab w:val="left" w:pos="360" w:leader="none"/>
      </w:tabs>
      <w:spacing w:lineRule="auto" w:line="480"/>
      <w:ind w:hanging="360" w:start="36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2.wmf"/><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2001-01-24T21:48:00Z</dcterms:created>
  <dc:creator>Jeff Trace</dc:creator>
  <dc:description/>
  <dc:language>en-CA</dc:language>
  <cp:lastModifiedBy>SEMPRA</cp:lastModifiedBy>
  <cp:lastPrinted>2001-01-24T10:05:00Z</cp:lastPrinted>
  <dcterms:modified xsi:type="dcterms:W3CDTF">2001-01-24T21:48:00Z</dcterms:modified>
  <cp:revision>2</cp:revision>
  <dc:subject/>
  <dc:title>TESTIMONY OF MICHAEL M</dc:title>
</cp:coreProperties>
</file>