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sz w:val="32"/>
        </w:rPr>
      </w:pPr>
      <w:r>
        <w:rPr>
          <w:b/>
          <w:sz w:val="32"/>
        </w:rPr>
        <w:t>Scheduling Timeline</w:t>
      </w:r>
    </w:p>
    <w:p>
      <w:pPr>
        <w:pStyle w:val="Heading1"/>
        <w:ind w:hanging="0" w:start="0"/>
        <w:jc w:val="center"/>
        <w:rPr>
          <w:b/>
          <w:sz w:val="32"/>
        </w:rPr>
      </w:pPr>
      <w:r>
        <w:rPr>
          <w:b/>
          <w:sz w:val="32"/>
        </w:rPr>
        <w:t>(Effective 11/01/01)</w:t>
      </w:r>
    </w:p>
    <w:p>
      <w:pPr>
        <w:pStyle w:val="Normal"/>
        <w:rPr>
          <w:b/>
          <w:sz w:val="32"/>
        </w:rPr>
      </w:pPr>
      <w:r>
        <w:rPr>
          <w:b/>
          <w:sz w:val="32"/>
        </w:rPr>
      </w:r>
    </w:p>
    <w:p>
      <w:pPr>
        <w:pStyle w:val="Normal"/>
        <w:rPr/>
      </w:pPr>
      <w:r>
        <w:rPr/>
      </w:r>
    </w:p>
    <w:p>
      <w:pPr>
        <w:pStyle w:val="Normal"/>
        <w:rPr>
          <w:b/>
          <w:u w:val="single"/>
        </w:rPr>
      </w:pPr>
      <w:r>
        <w:rPr>
          <w:b/>
          <w:u w:val="single"/>
        </w:rPr>
        <w:t>7:30 a.m. (No later)</w:t>
      </w:r>
    </w:p>
    <w:p>
      <w:pPr>
        <w:pStyle w:val="Normal"/>
        <w:numPr>
          <w:ilvl w:val="0"/>
          <w:numId w:val="3"/>
        </w:numPr>
        <w:rPr/>
      </w:pPr>
      <w:r>
        <w:rPr/>
        <w:t xml:space="preserve">If total prior scheduled volumes (TPSV) are greater than total operation capacity limit (TOCL), an OFO will be declared for the flow day  </w:t>
      </w:r>
    </w:p>
    <w:p>
      <w:pPr>
        <w:pStyle w:val="Normal"/>
        <w:rPr/>
      </w:pPr>
      <w:r>
        <w:rPr/>
      </w:r>
    </w:p>
    <w:p>
      <w:pPr>
        <w:pStyle w:val="Normal"/>
        <w:rPr>
          <w:b/>
          <w:u w:val="single"/>
        </w:rPr>
      </w:pPr>
      <w:r>
        <w:rPr>
          <w:b/>
          <w:u w:val="single"/>
        </w:rPr>
        <w:t>9:30 a.m.</w:t>
      </w:r>
    </w:p>
    <w:p>
      <w:pPr>
        <w:pStyle w:val="Normal"/>
        <w:numPr>
          <w:ilvl w:val="0"/>
          <w:numId w:val="11"/>
        </w:numPr>
        <w:rPr/>
      </w:pPr>
      <w:r>
        <w:rPr/>
        <w:t>Customer nomination deadline for Cycle 1 – Timely</w:t>
      </w:r>
    </w:p>
    <w:p>
      <w:pPr>
        <w:pStyle w:val="Normal"/>
        <w:rPr/>
      </w:pPr>
      <w:r>
        <w:rPr/>
      </w:r>
    </w:p>
    <w:p>
      <w:pPr>
        <w:pStyle w:val="Normal"/>
        <w:numPr>
          <w:ilvl w:val="0"/>
          <w:numId w:val="7"/>
        </w:numPr>
        <w:rPr/>
      </w:pPr>
      <w:r>
        <w:rPr/>
        <w:t>If an OFO was declared by 7:30 a.m., prior to Cycle 1 – Timely, SoCalGas would eliminate Hub and IT storage injection nominations and cut other nominations in accordance with current practice.  These nomination limits will be imposed throughout the remainder of the gas day.</w:t>
      </w:r>
    </w:p>
    <w:p>
      <w:pPr>
        <w:pStyle w:val="Normal"/>
        <w:numPr>
          <w:ilvl w:val="0"/>
          <w:numId w:val="9"/>
        </w:numPr>
        <w:rPr/>
      </w:pPr>
      <w:r>
        <w:rPr/>
      </w:r>
    </w:p>
    <w:p>
      <w:pPr>
        <w:pStyle w:val="Normal"/>
        <w:rPr>
          <w:b/>
          <w:u w:val="single"/>
        </w:rPr>
      </w:pPr>
      <w:r>
        <w:rPr>
          <w:b/>
          <w:u w:val="single"/>
        </w:rPr>
        <w:t>2:00 p.m. (No Later)</w:t>
      </w:r>
    </w:p>
    <w:p>
      <w:pPr>
        <w:pStyle w:val="Normal"/>
        <w:numPr>
          <w:ilvl w:val="0"/>
          <w:numId w:val="10"/>
        </w:numPr>
        <w:rPr/>
      </w:pPr>
      <w:r>
        <w:rPr/>
        <w:t xml:space="preserve">If no OFO declared before Cycle One and TPSV is greater than TOCL, an OFO will be declare for the flow day </w:t>
      </w:r>
    </w:p>
    <w:p>
      <w:pPr>
        <w:pStyle w:val="Normal"/>
        <w:rPr/>
      </w:pPr>
      <w:r>
        <w:rPr/>
      </w:r>
    </w:p>
    <w:p>
      <w:pPr>
        <w:pStyle w:val="Normal"/>
        <w:rPr>
          <w:b/>
          <w:u w:val="single"/>
        </w:rPr>
      </w:pPr>
      <w:r>
        <w:rPr>
          <w:b/>
          <w:u w:val="single"/>
        </w:rPr>
        <w:t>2:30 p.m.</w:t>
      </w:r>
    </w:p>
    <w:p>
      <w:pPr>
        <w:pStyle w:val="Normal"/>
        <w:numPr>
          <w:ilvl w:val="0"/>
          <w:numId w:val="2"/>
        </w:numPr>
        <w:rPr/>
      </w:pPr>
      <w:r>
        <w:rPr/>
        <w:t>Scheduled volumes received from interstate pipelines for Cycle 1 – Timely</w:t>
      </w:r>
    </w:p>
    <w:p>
      <w:pPr>
        <w:pStyle w:val="Normal"/>
        <w:rPr>
          <w:b/>
          <w:u w:val="single"/>
        </w:rPr>
      </w:pPr>
      <w:r>
        <w:rPr>
          <w:b/>
          <w:u w:val="single"/>
        </w:rPr>
      </w:r>
    </w:p>
    <w:p>
      <w:pPr>
        <w:pStyle w:val="Normal"/>
        <w:rPr>
          <w:b/>
          <w:u w:val="single"/>
        </w:rPr>
      </w:pPr>
      <w:r>
        <w:rPr>
          <w:b/>
          <w:u w:val="single"/>
        </w:rPr>
        <w:t>4:00 p.m.</w:t>
      </w:r>
    </w:p>
    <w:p>
      <w:pPr>
        <w:pStyle w:val="Normal"/>
        <w:numPr>
          <w:ilvl w:val="0"/>
          <w:numId w:val="5"/>
        </w:numPr>
        <w:rPr/>
      </w:pPr>
      <w:r>
        <w:rPr/>
        <w:t>Customer nomination deadline for Cycle 2 – Evening</w:t>
      </w:r>
    </w:p>
    <w:p>
      <w:pPr>
        <w:pStyle w:val="Normal"/>
        <w:rPr/>
      </w:pPr>
      <w:r>
        <w:rPr/>
      </w:r>
    </w:p>
    <w:p>
      <w:pPr>
        <w:pStyle w:val="Normal"/>
        <w:numPr>
          <w:ilvl w:val="0"/>
          <w:numId w:val="7"/>
        </w:numPr>
        <w:rPr/>
      </w:pPr>
      <w:r>
        <w:rPr/>
        <w:t>If an OFO was declared for the flow date, SoCalGas would eliminate Hub and IT storage injection nominations and cut other nominations in accordance with current practice.  These nomination limits will be imposed throughout the remainder of the gas day.</w:t>
      </w:r>
    </w:p>
    <w:p>
      <w:pPr>
        <w:pStyle w:val="Normal"/>
        <w:rPr/>
      </w:pPr>
      <w:r>
        <w:rPr/>
      </w:r>
    </w:p>
    <w:p>
      <w:pPr>
        <w:pStyle w:val="Normal"/>
        <w:rPr>
          <w:b/>
          <w:u w:val="single"/>
        </w:rPr>
      </w:pPr>
      <w:r>
        <w:rPr>
          <w:b/>
          <w:u w:val="single"/>
        </w:rPr>
        <w:t>8:00 p.m.</w:t>
      </w:r>
    </w:p>
    <w:p>
      <w:pPr>
        <w:pStyle w:val="Normal"/>
        <w:numPr>
          <w:ilvl w:val="0"/>
          <w:numId w:val="8"/>
        </w:numPr>
        <w:rPr/>
      </w:pPr>
      <w:r>
        <w:rPr/>
        <w:t>Scheduled volumes received from interstate pipelines for Cycle 2 – Evening</w:t>
      </w:r>
    </w:p>
    <w:p>
      <w:pPr>
        <w:pStyle w:val="Normal"/>
        <w:rPr>
          <w:b/>
          <w:u w:val="single"/>
        </w:rPr>
      </w:pPr>
      <w:r>
        <w:rPr>
          <w:b/>
          <w:u w:val="single"/>
        </w:rPr>
      </w:r>
    </w:p>
    <w:p>
      <w:pPr>
        <w:pStyle w:val="Normal"/>
        <w:rPr>
          <w:b/>
          <w:u w:val="single"/>
        </w:rPr>
      </w:pPr>
      <w:r>
        <w:rPr>
          <w:b/>
          <w:u w:val="single"/>
        </w:rPr>
        <w:t>6:00 a.m. Day of Flow (No Later)</w:t>
      </w:r>
    </w:p>
    <w:p>
      <w:pPr>
        <w:pStyle w:val="Normal"/>
        <w:numPr>
          <w:ilvl w:val="0"/>
          <w:numId w:val="6"/>
        </w:numPr>
        <w:rPr/>
      </w:pPr>
      <w:r>
        <w:rPr/>
        <w:t>If no OFO declared and TPSV is greater than TOCL, declare OFO effective for flow day</w:t>
      </w:r>
    </w:p>
    <w:p>
      <w:pPr>
        <w:pStyle w:val="Normal"/>
        <w:rPr/>
      </w:pPr>
      <w:r>
        <w:rPr/>
      </w:r>
    </w:p>
    <w:p>
      <w:pPr>
        <w:pStyle w:val="Normal"/>
        <w:rPr>
          <w:b/>
          <w:u w:val="single"/>
        </w:rPr>
      </w:pPr>
      <w:r>
        <w:rPr>
          <w:b/>
          <w:u w:val="single"/>
        </w:rPr>
        <w:t>8:00 a.m. – Day of Flow</w:t>
      </w:r>
    </w:p>
    <w:p>
      <w:pPr>
        <w:pStyle w:val="Normal"/>
        <w:numPr>
          <w:ilvl w:val="0"/>
          <w:numId w:val="13"/>
        </w:numPr>
        <w:rPr/>
      </w:pPr>
      <w:r>
        <w:rPr/>
        <w:t>Customer nomination deadline for Cycle 3 – Intraday 1</w:t>
      </w:r>
    </w:p>
    <w:p>
      <w:pPr>
        <w:pStyle w:val="Normal"/>
        <w:rPr/>
      </w:pPr>
      <w:r>
        <w:rPr/>
      </w:r>
    </w:p>
    <w:p>
      <w:pPr>
        <w:pStyle w:val="Normal"/>
        <w:numPr>
          <w:ilvl w:val="0"/>
          <w:numId w:val="7"/>
        </w:numPr>
        <w:rPr/>
      </w:pPr>
      <w:r>
        <w:rPr/>
        <w:t>If an OFO was declared for the flow date, SoCalGas would eliminate Hub and IT storage injection nominations and cut other nominations in accordance with current practice, subject to the elapsed pro-rata rules.  These limits will be imposed throughout the remainder of the gas day.</w:t>
      </w:r>
    </w:p>
    <w:p>
      <w:pPr>
        <w:pStyle w:val="Normal"/>
        <w:rPr/>
      </w:pPr>
      <w:r>
        <w:rPr/>
      </w:r>
    </w:p>
    <w:p>
      <w:pPr>
        <w:pStyle w:val="Normal"/>
        <w:rPr>
          <w:b/>
          <w:u w:val="single"/>
        </w:rPr>
      </w:pPr>
      <w:r>
        <w:rPr>
          <w:b/>
          <w:u w:val="single"/>
        </w:rPr>
        <w:t>12:00 p.m. Day of Flow</w:t>
      </w:r>
    </w:p>
    <w:p>
      <w:pPr>
        <w:pStyle w:val="Normal"/>
        <w:numPr>
          <w:ilvl w:val="0"/>
          <w:numId w:val="4"/>
        </w:numPr>
        <w:rPr/>
      </w:pPr>
      <w:r>
        <w:rPr/>
        <w:t>Scheduled volumes received from interstate pipelines for Cycle 3 – Intraday 1</w:t>
      </w:r>
    </w:p>
    <w:p>
      <w:pPr>
        <w:pStyle w:val="Normal"/>
        <w:rPr/>
      </w:pPr>
      <w:r>
        <w:rPr/>
      </w:r>
    </w:p>
    <w:p>
      <w:pPr>
        <w:pStyle w:val="Normal"/>
        <w:rPr>
          <w:b/>
          <w:u w:val="single"/>
        </w:rPr>
      </w:pPr>
      <w:r>
        <w:rPr>
          <w:b/>
          <w:u w:val="single"/>
        </w:rPr>
        <w:t>1:00 p.m. Day of Flow (No Later)</w:t>
      </w:r>
    </w:p>
    <w:p>
      <w:pPr>
        <w:pStyle w:val="Normal"/>
        <w:numPr>
          <w:ilvl w:val="0"/>
          <w:numId w:val="14"/>
        </w:numPr>
        <w:rPr/>
      </w:pPr>
      <w:r>
        <w:rPr/>
        <w:t>If an OFO was declared for the flow day, and scheduled volumes from Intraday 1 are greater than TOCL, set receipt point capacities based on pro-rata for the next cycle to ensure system capacity is not exceeded.</w:t>
      </w:r>
    </w:p>
    <w:p>
      <w:pPr>
        <w:pStyle w:val="Normal"/>
        <w:rPr/>
      </w:pPr>
      <w:r>
        <w:rPr/>
      </w:r>
    </w:p>
    <w:p>
      <w:pPr>
        <w:pStyle w:val="Normal"/>
        <w:numPr>
          <w:ilvl w:val="0"/>
          <w:numId w:val="6"/>
        </w:numPr>
        <w:rPr/>
      </w:pPr>
      <w:r>
        <w:rPr/>
        <w:t>If no OFO declared and  TPSV is greater than TOCL, declare OFO effective for flow day</w:t>
      </w:r>
    </w:p>
    <w:p>
      <w:pPr>
        <w:pStyle w:val="Normal"/>
        <w:rPr>
          <w:b/>
          <w:u w:val="single"/>
        </w:rPr>
      </w:pPr>
      <w:r>
        <w:rPr>
          <w:b/>
          <w:u w:val="single"/>
        </w:rPr>
      </w:r>
    </w:p>
    <w:p>
      <w:pPr>
        <w:pStyle w:val="Normal"/>
        <w:rPr>
          <w:b/>
          <w:u w:val="single"/>
        </w:rPr>
      </w:pPr>
      <w:r>
        <w:rPr>
          <w:b/>
          <w:u w:val="single"/>
        </w:rPr>
        <w:t>3:00 p.m. – Day of Flow</w:t>
      </w:r>
    </w:p>
    <w:p>
      <w:pPr>
        <w:pStyle w:val="Normal"/>
        <w:numPr>
          <w:ilvl w:val="0"/>
          <w:numId w:val="12"/>
        </w:numPr>
        <w:rPr/>
      </w:pPr>
      <w:r>
        <w:rPr/>
        <w:t>Customer nomination deadline for Cycle 4 – Intraday 2</w:t>
      </w:r>
    </w:p>
    <w:p>
      <w:pPr>
        <w:pStyle w:val="Normal"/>
        <w:rPr/>
      </w:pPr>
      <w:r>
        <w:rPr/>
      </w:r>
    </w:p>
    <w:p>
      <w:pPr>
        <w:pStyle w:val="Normal"/>
        <w:numPr>
          <w:ilvl w:val="0"/>
          <w:numId w:val="7"/>
        </w:numPr>
        <w:rPr/>
      </w:pPr>
      <w:r>
        <w:rPr/>
        <w:t>If an OFO was declared for the flow date, SoCalGas would eliminate Hub and IT storage injection nominations and cut other nominations in accordance with current practice, subject to the elapsed pro-rata rules, and set receipt point capacities.</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2001-09-26T15:42:00Z</dcterms:created>
  <dc:creator>GasScheduling</dc:creator>
  <dc:description/>
  <dc:language>en-CA</dc:language>
  <cp:lastModifiedBy>Sempra Energy</cp:lastModifiedBy>
  <cp:lastPrinted>2001-09-10T13:50:00Z</cp:lastPrinted>
  <dcterms:modified xsi:type="dcterms:W3CDTF">2001-09-26T15:44:00Z</dcterms:modified>
  <cp:revision>3</cp:revision>
  <dc:subject/>
  <dc:title>Timeline</dc:title>
</cp:coreProperties>
</file>