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J"/>
        <w:rPr/>
      </w:pPr>
      <w:r>
        <w:rPr/>
      </w:r>
    </w:p>
    <w:p>
      <w:pPr>
        <w:pStyle w:val="BodyTextJ"/>
        <w:jc w:val="center"/>
        <w:rPr>
          <w:b/>
        </w:rPr>
      </w:pPr>
      <w:r>
        <w:rPr>
          <w:b/>
        </w:rPr>
        <w:t>SCHEDULE</w:t>
      </w:r>
    </w:p>
    <w:p>
      <w:pPr>
        <w:pStyle w:val="BodyTextJ"/>
        <w:jc w:val="center"/>
        <w:rPr>
          <w:b/>
        </w:rPr>
      </w:pPr>
      <w:r>
        <w:rPr>
          <w:b/>
        </w:rPr>
        <w:t>to the</w:t>
      </w:r>
    </w:p>
    <w:p>
      <w:pPr>
        <w:pStyle w:val="BodyTextJ"/>
        <w:spacing w:before="0" w:after="0"/>
        <w:jc w:val="center"/>
        <w:rPr>
          <w:b/>
        </w:rPr>
      </w:pPr>
      <w:r>
        <w:rPr>
          <w:b/>
        </w:rPr>
        <w:t>ISDA MASTER AGREEMENT</w:t>
      </w:r>
    </w:p>
    <w:p>
      <w:pPr>
        <w:pStyle w:val="BodyTextJ"/>
        <w:jc w:val="center"/>
        <w:rPr>
          <w:b/>
        </w:rPr>
      </w:pPr>
      <w:r>
        <w:rPr>
          <w:b/>
        </w:rPr>
        <w:t>(Local Currency - Single Jurisdiction)</w:t>
      </w:r>
    </w:p>
    <w:p>
      <w:pPr>
        <w:pStyle w:val="BodyTextJ"/>
        <w:spacing w:before="0" w:after="0"/>
        <w:jc w:val="center"/>
        <w:rPr>
          <w:b/>
        </w:rPr>
      </w:pPr>
      <w:r>
        <w:rPr>
          <w:b/>
        </w:rPr>
        <w:t>dated as of _______</w:t>
      </w:r>
    </w:p>
    <w:p>
      <w:pPr>
        <w:pStyle w:val="BodyTextJ"/>
        <w:jc w:val="center"/>
        <w:rPr>
          <w:b/>
        </w:rPr>
      </w:pPr>
      <w:r>
        <w:rPr>
          <w:b/>
        </w:rPr>
        <w:t>between</w:t>
      </w:r>
    </w:p>
    <w:p>
      <w:pPr>
        <w:pStyle w:val="BodyTextJ"/>
        <w:spacing w:before="0" w:after="0"/>
        <w:jc w:val="center"/>
        <w:rPr>
          <w:b/>
        </w:rPr>
      </w:pPr>
      <w:r>
        <w:rPr>
          <w:b/>
        </w:rPr>
        <w:t>ENRON NORTH AMERICA CORP. (“Party A”),</w:t>
      </w:r>
    </w:p>
    <w:p>
      <w:pPr>
        <w:pStyle w:val="BodyTextJ"/>
        <w:spacing w:before="0" w:after="0"/>
        <w:jc w:val="center"/>
        <w:rPr>
          <w:b/>
        </w:rPr>
      </w:pPr>
      <w:r>
        <w:rPr>
          <w:b/>
        </w:rPr>
        <w:t>a corporation organized and operating under</w:t>
      </w:r>
    </w:p>
    <w:p>
      <w:pPr>
        <w:pStyle w:val="BodyTextJ"/>
        <w:jc w:val="center"/>
        <w:rPr>
          <w:b/>
        </w:rPr>
      </w:pPr>
      <w:r>
        <w:rPr>
          <w:b/>
        </w:rPr>
        <w:t>the laws of the State of Delaware</w:t>
      </w:r>
    </w:p>
    <w:p>
      <w:pPr>
        <w:pStyle w:val="BodyTextJ"/>
        <w:jc w:val="center"/>
        <w:rPr>
          <w:b/>
        </w:rPr>
      </w:pPr>
      <w:r>
        <w:rPr>
          <w:b/>
        </w:rPr>
        <w:t>and</w:t>
      </w:r>
    </w:p>
    <w:p>
      <w:pPr>
        <w:pStyle w:val="BodyTextJ"/>
        <w:spacing w:before="0" w:after="0"/>
        <w:jc w:val="center"/>
        <w:rPr>
          <w:b/>
        </w:rPr>
      </w:pPr>
      <w:r>
        <w:rPr>
          <w:b/>
        </w:rPr>
        <w:t>SACRAMENTO MUNICIPAL UTILITY DISTRICT (“Party B”),</w:t>
      </w:r>
    </w:p>
    <w:p>
      <w:pPr>
        <w:pStyle w:val="BodyTextJ"/>
        <w:spacing w:before="0" w:after="0"/>
        <w:jc w:val="center"/>
        <w:rPr>
          <w:b/>
        </w:rPr>
      </w:pPr>
      <w:r>
        <w:rPr>
          <w:b/>
        </w:rPr>
        <w:t>a political subdivision</w:t>
      </w:r>
    </w:p>
    <w:p>
      <w:pPr>
        <w:pStyle w:val="BodyTextJ"/>
        <w:spacing w:before="0" w:after="0"/>
        <w:jc w:val="center"/>
        <w:rPr>
          <w:b/>
        </w:rPr>
      </w:pPr>
      <w:r>
        <w:rPr>
          <w:b/>
        </w:rPr>
        <w:t>of the State of California</w:t>
      </w:r>
    </w:p>
    <w:p>
      <w:pPr>
        <w:pStyle w:val="BodyTextJ"/>
        <w:jc w:val="center"/>
        <w:rPr>
          <w:b/>
        </w:rPr>
      </w:pPr>
      <w:r>
        <w:rPr>
          <w:b/>
        </w:rPr>
      </w:r>
    </w:p>
    <w:p>
      <w:pPr>
        <w:pStyle w:val="BodyTextJ"/>
        <w:rPr/>
      </w:pPr>
      <w:r>
        <w:rPr/>
      </w:r>
    </w:p>
    <w:p>
      <w:pPr>
        <w:pStyle w:val="BodyTextJ"/>
        <w:rPr/>
      </w:pPr>
      <w:r>
        <w:rPr>
          <w:b/>
        </w:rPr>
        <w:t>Part 1. Termination Provisions</w:t>
      </w:r>
      <w:r>
        <w:rPr/>
        <w:t>.</w:t>
      </w:r>
    </w:p>
    <w:p>
      <w:pPr>
        <w:pStyle w:val="BodyTextJ"/>
        <w:numPr>
          <w:ilvl w:val="0"/>
          <w:numId w:val="4"/>
        </w:numPr>
        <w:tabs>
          <w:tab w:val="left" w:pos="720" w:leader="none"/>
        </w:tabs>
        <w:rPr/>
      </w:pPr>
      <w:r>
        <w:rPr/>
        <w:t>“</w:t>
      </w:r>
      <w:r>
        <w:rPr>
          <w:b/>
          <w:i/>
        </w:rPr>
        <w:t>Specified Entity</w:t>
      </w:r>
      <w:r>
        <w:rPr/>
        <w:t>” means in relation to Party A for the purpose of:</w:t>
      </w:r>
    </w:p>
    <w:p>
      <w:pPr>
        <w:pStyle w:val="BodyText5J"/>
        <w:spacing w:before="0" w:after="0"/>
        <w:rPr/>
      </w:pPr>
      <w:r>
        <w:rPr/>
        <w:t>Section 5(a)(v) (Default under Specified Transaction), Not Applicable.</w:t>
      </w:r>
    </w:p>
    <w:p>
      <w:pPr>
        <w:pStyle w:val="BodyText5J"/>
        <w:spacing w:before="0" w:after="0"/>
        <w:rPr/>
      </w:pPr>
      <w:r>
        <w:rPr/>
        <w:t>Section 5(a)(vi) (Cross Default), Not Applicable.</w:t>
      </w:r>
    </w:p>
    <w:p>
      <w:pPr>
        <w:pStyle w:val="BodyText5J"/>
        <w:spacing w:before="0" w:after="0"/>
        <w:rPr/>
      </w:pPr>
      <w:r>
        <w:rPr/>
        <w:t>Section 5(a)(vii) (Bankruptcy), Not Applicable.</w:t>
      </w:r>
    </w:p>
    <w:p>
      <w:pPr>
        <w:pStyle w:val="BodyText5J"/>
        <w:spacing w:before="0" w:after="0"/>
        <w:rPr/>
      </w:pPr>
      <w:r>
        <w:rPr/>
        <w:t>Section 5(b)(ii)(Credit Event Upon Merger), Not Applicable.</w:t>
      </w:r>
    </w:p>
    <w:p>
      <w:pPr>
        <w:pStyle w:val="BodyText5J"/>
        <w:spacing w:before="0" w:after="0"/>
        <w:rPr/>
      </w:pPr>
      <w:r>
        <w:rPr/>
      </w:r>
    </w:p>
    <w:p>
      <w:pPr>
        <w:pStyle w:val="BodyText5J"/>
        <w:rPr/>
      </w:pPr>
      <w:r>
        <w:rPr/>
        <w:t>and in relation to Party B for the purpose of:</w:t>
      </w:r>
    </w:p>
    <w:p>
      <w:pPr>
        <w:pStyle w:val="BodyText5J"/>
        <w:spacing w:before="0" w:after="0"/>
        <w:rPr/>
      </w:pPr>
      <w:r>
        <w:rPr/>
        <w:t>Section 5(a)(v) (Default under Specified Transaction), Not applicable.</w:t>
      </w:r>
    </w:p>
    <w:p>
      <w:pPr>
        <w:pStyle w:val="BodyText5J"/>
        <w:spacing w:before="0" w:after="0"/>
        <w:rPr/>
      </w:pPr>
      <w:r>
        <w:rPr/>
        <w:t>Section 5(a)(vi) (Cross Default), Not applicable.</w:t>
      </w:r>
    </w:p>
    <w:p>
      <w:pPr>
        <w:pStyle w:val="BodyText5J"/>
        <w:spacing w:before="0" w:after="0"/>
        <w:rPr/>
      </w:pPr>
      <w:r>
        <w:rPr/>
        <w:t>Section 5(a)(vii) (Bankruptcy), Not applicable.</w:t>
      </w:r>
    </w:p>
    <w:p>
      <w:pPr>
        <w:pStyle w:val="BodyText5J"/>
        <w:spacing w:before="0" w:after="0"/>
        <w:rPr/>
      </w:pPr>
      <w:r>
        <w:rPr/>
        <w:t>Section 5(b)(ii)(Credit Event Upon Merger), Not applicable.</w:t>
      </w:r>
    </w:p>
    <w:p>
      <w:pPr>
        <w:pStyle w:val="BodyText5J"/>
        <w:spacing w:before="0" w:after="0"/>
        <w:rPr/>
      </w:pPr>
      <w:r>
        <w:rPr/>
      </w:r>
    </w:p>
    <w:p>
      <w:pPr>
        <w:pStyle w:val="BodyTextJ"/>
        <w:numPr>
          <w:ilvl w:val="0"/>
          <w:numId w:val="4"/>
        </w:numPr>
        <w:tabs>
          <w:tab w:val="left" w:pos="720" w:leader="none"/>
        </w:tabs>
        <w:spacing w:before="0" w:after="120"/>
        <w:rPr/>
      </w:pPr>
      <w:r>
        <w:rPr/>
        <w:t xml:space="preserve">The </w:t>
      </w:r>
      <w:r>
        <w:rPr>
          <w:b/>
          <w:i/>
        </w:rPr>
        <w:t>“Cross Default”</w:t>
      </w:r>
      <w:r>
        <w:rPr/>
        <w:t xml:space="preserve"> provisions of Section 5(a)(vi) will apply to Party A and to Party B.</w:t>
      </w:r>
    </w:p>
    <w:p>
      <w:pPr>
        <w:pStyle w:val="BodyText5J"/>
        <w:rPr/>
      </w:pPr>
      <w:r>
        <w:rPr>
          <w:b/>
          <w:i/>
        </w:rPr>
        <w:t>“</w:t>
      </w:r>
      <w:r>
        <w:rPr>
          <w:b/>
          <w:i/>
        </w:rPr>
        <w:t>Specified Indebtedness”</w:t>
      </w:r>
      <w:r>
        <w:rPr/>
        <w:t xml:space="preserve"> will have the meaning specified in Section 12 of this Agreement.</w:t>
      </w:r>
    </w:p>
    <w:p>
      <w:pPr>
        <w:pStyle w:val="BodyText5J"/>
        <w:rPr/>
      </w:pPr>
      <w:r>
        <w:rPr>
          <w:b/>
          <w:i/>
        </w:rPr>
        <w:t>“</w:t>
      </w:r>
      <w:r>
        <w:rPr>
          <w:b/>
          <w:i/>
        </w:rPr>
        <w:t>Threshold Amount”</w:t>
      </w:r>
      <w:r>
        <w:rPr/>
        <w:t xml:space="preserve"> means with respect to Party A or Party A’s Credit Support Provider, $100,000,000; and with respect to Party B, $50,000,000.</w:t>
      </w:r>
    </w:p>
    <w:p>
      <w:pPr>
        <w:pStyle w:val="BodyTextJ"/>
        <w:numPr>
          <w:ilvl w:val="0"/>
          <w:numId w:val="4"/>
        </w:numPr>
        <w:tabs>
          <w:tab w:val="left" w:pos="720" w:leader="none"/>
        </w:tabs>
        <w:ind w:hanging="0" w:start="0" w:end="0"/>
        <w:rPr/>
      </w:pPr>
      <w:r>
        <w:rPr/>
        <w:t xml:space="preserve">The </w:t>
      </w:r>
      <w:r>
        <w:rPr>
          <w:b/>
          <w:i/>
        </w:rPr>
        <w:t>“Credit Event Upon Merger”</w:t>
      </w:r>
      <w:r>
        <w:rPr/>
        <w:t xml:space="preserve"> provisions of Section 5(b)(ii) will apply to Party A and to Party B.</w:t>
      </w:r>
    </w:p>
    <w:p>
      <w:pPr>
        <w:pStyle w:val="BodyTextJ"/>
        <w:numPr>
          <w:ilvl w:val="0"/>
          <w:numId w:val="4"/>
        </w:numPr>
        <w:tabs>
          <w:tab w:val="left" w:pos="720" w:leader="none"/>
        </w:tabs>
        <w:ind w:hanging="0" w:start="0" w:end="0"/>
        <w:rPr/>
      </w:pPr>
      <w:r>
        <w:rPr/>
        <w:t xml:space="preserve">The </w:t>
      </w:r>
      <w:r>
        <w:rPr>
          <w:b/>
          <w:i/>
        </w:rPr>
        <w:t>“Automatic Early Termination”</w:t>
      </w:r>
      <w:r>
        <w:rPr/>
        <w:t xml:space="preserve"> provision of Section 6(a) will not apply to Party A or to Party B.</w:t>
      </w:r>
    </w:p>
    <w:p>
      <w:pPr>
        <w:pStyle w:val="BodyTextJ"/>
        <w:numPr>
          <w:ilvl w:val="0"/>
          <w:numId w:val="4"/>
        </w:numPr>
        <w:tabs>
          <w:tab w:val="left" w:pos="720" w:leader="none"/>
        </w:tabs>
        <w:rPr/>
      </w:pPr>
      <w:r>
        <w:rPr>
          <w:b/>
          <w:i/>
        </w:rPr>
        <w:t>Payments on Early Termination.</w:t>
      </w:r>
      <w:r>
        <w:rPr/>
        <w:t xml:space="preserve">  For the purpose of Section 6(e) of this Agreement:</w:t>
      </w:r>
    </w:p>
    <w:p>
      <w:pPr>
        <w:pStyle w:val="BodyText1J"/>
        <w:ind w:firstLine="720" w:end="0"/>
        <w:rPr/>
      </w:pPr>
      <w:r>
        <w:rPr/>
        <w:t>(i)</w:t>
        <w:tab/>
        <w:t>Market Quotation will apply.</w:t>
      </w:r>
    </w:p>
    <w:p>
      <w:pPr>
        <w:pStyle w:val="BodyText1J"/>
        <w:ind w:firstLine="720" w:end="0"/>
        <w:rPr/>
      </w:pPr>
      <w:r>
        <w:rPr/>
        <w:t>(ii)</w:t>
        <w:tab/>
        <w:t>The Second Method will apply.</w:t>
      </w:r>
    </w:p>
    <w:p>
      <w:pPr>
        <w:pStyle w:val="BodyTextJ"/>
        <w:numPr>
          <w:ilvl w:val="0"/>
          <w:numId w:val="2"/>
        </w:numPr>
        <w:tabs>
          <w:tab w:val="left" w:pos="720" w:leader="none"/>
        </w:tabs>
        <w:ind w:hanging="0" w:start="0" w:end="0"/>
        <w:rPr/>
      </w:pPr>
      <w:r>
        <w:rPr>
          <w:b/>
          <w:i/>
        </w:rPr>
        <w:t>Additional Termination Event</w:t>
      </w:r>
      <w:r>
        <w:rPr/>
        <w:t xml:space="preserve"> will apply.  The following shall constitute Additional Termination Events:</w:t>
      </w:r>
    </w:p>
    <w:p>
      <w:pPr>
        <w:pStyle w:val="BodyText5J"/>
        <w:rPr/>
      </w:pPr>
      <w:r>
        <w:rPr/>
        <w:t>If any two rating classifications assigned to any outstanding long-term unsecured, unsubordinated debt of Party B or of Party A (or any Credit Support Provider of Party A) is BB+ or lower by Standard &amp; Poor’s Corporation (or any successor) (“S&amp;P”), or Ba1 or lower by Moody’s Investors Service (or any successor) (“Moody’s”), or BB+ by Fitch, Inc. (or any successor) (“Fitch”) (or any two of such ratings are withdrawn or suspended), then a “Ratings Event” shall be deemed to have occurred with respect to such Party, unless the party for which the Ratings Event is deemed to have occurred, such party “X”, within 30 days of such occurrence, (1) posts collateral in an amount and a manner satisfactory to the other party, (2) provides a guaranty in form satisfactory to the other party from an entity whose outstanding long-term unsecured, unsubordinated debt rating satisfies the above criteria, or (3) assigns or transfers its rights under each Transaction to an entity whose outstanding long-term unsecured, unsubordinated debt rating from at least two of the following three rating agencies is: BBB+ or higher by S&amp;P, Baa1 or higher by Moody’s, or BBB+ or higher by Fitch.  X shall promptly notify the other party of the occurrence of such Ratings Event.</w:t>
      </w:r>
    </w:p>
    <w:p>
      <w:pPr>
        <w:pStyle w:val="BodyText5J"/>
        <w:rPr/>
      </w:pPr>
      <w:r>
        <w:rPr/>
        <w:t>A Ratings Event shall be deemed an Additional Termination Event for which all Transactions under this Agreement shall be Affected Transactions.  For the purposes of Section 6(b) X shall be the sole Affected Party and, for the purposes of Section 6(e), both parties shall be Affected Parties.</w:t>
      </w:r>
    </w:p>
    <w:p>
      <w:pPr>
        <w:pStyle w:val="BodyText5J"/>
        <w:rPr/>
      </w:pPr>
      <w:r>
        <w:rPr/>
        <w:t>(ii)</w:t>
      </w:r>
      <w:r>
        <w:rPr>
          <w:b/>
          <w:i/>
        </w:rPr>
        <w:tab/>
        <w:t>Merger Without Assumption.</w:t>
      </w:r>
      <w:r>
        <w:rPr/>
        <w:t xml:space="preserve">  Section 5(a)(viii) of this Agreement is hereby amended by to read in its entirety as follows:</w:t>
      </w:r>
    </w:p>
    <w:p>
      <w:pPr>
        <w:pStyle w:val="BodyText5J"/>
        <w:rPr/>
      </w:pPr>
      <w:r>
        <w:rPr/>
        <w:t>“</w:t>
      </w:r>
      <w:r>
        <w:rPr/>
        <w:t>(viii) Merger Without Assumption. The party or any Credit Support Provider of such party consolidates or amalgamates with, or merges with or into, or transfers all or substantially all its assets to, or reorganizes, incorporates, reincorporates or reforms into or as, another entity (or, without limiting the foregoing, in the case of Party B, an entity such as an organization, board, commission, authority, agency or body succeeds to the principal functions of, or powers and duties granted to, Party B or any Credit Support Provider of Party B) and, at the time of such consolidation, amalgamation, merger, transfer or succession:</w:t>
      </w:r>
    </w:p>
    <w:p>
      <w:pPr>
        <w:pStyle w:val="BodyText5J"/>
        <w:rPr/>
      </w:pPr>
      <w:r>
        <w:rPr/>
        <w:t>(1)</w:t>
        <w:tab/>
        <w:t>the resulting, surviving, reorganized, reincorporated, reconstituted, transferee or successor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BodyText5J"/>
        <w:rPr/>
      </w:pPr>
      <w:r>
        <w:rPr/>
        <w:t>(2)</w:t>
        <w:tab/>
        <w:t>the benefits of any Credit Support Document fail to extend (without the consent of the other party) to the performance by such resulting, surviving, reorganized, reincorporated, reconstituted, transferee or successor entity of its obligations under this Agreement.”</w:t>
      </w:r>
    </w:p>
    <w:p>
      <w:pPr>
        <w:pStyle w:val="BodyTextJ"/>
        <w:numPr>
          <w:ilvl w:val="0"/>
          <w:numId w:val="2"/>
        </w:numPr>
        <w:tabs>
          <w:tab w:val="left" w:pos="720" w:leader="none"/>
        </w:tabs>
        <w:ind w:hanging="0" w:start="0" w:end="0"/>
        <w:rPr/>
      </w:pPr>
      <w:r>
        <w:rPr>
          <w:b/>
          <w:i/>
        </w:rPr>
        <w:t>Termination Events.</w:t>
      </w:r>
      <w:r>
        <w:rPr/>
        <w:t xml:space="preserve">  Section 5(b)(ii) of this Agreement is hereby amended to read in its entirety as follows:</w:t>
      </w:r>
    </w:p>
    <w:p>
      <w:pPr>
        <w:pStyle w:val="BodyText1J"/>
        <w:rPr/>
      </w:pPr>
      <w:r>
        <w:rPr/>
        <w:t>“</w:t>
      </w:r>
      <w:r>
        <w:rPr/>
        <w:t xml:space="preserve">(ii) </w:t>
      </w:r>
      <w:r>
        <w:rPr>
          <w:b/>
          <w:i/>
        </w:rPr>
        <w:t>Credit Event Upon Merger</w:t>
      </w:r>
      <w:r>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(or, without limiting the foregoing, if X is a Government Entity, an entity such as an organization, board, commission, authority, agency or body succeeds to the principal functions of, or powers and duties granted to, X, any Credit Support Provider of X or any Specified Entity of X)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provided, however, that the foregoing action or event shall not constitute a Termination Event (1) as to Party A, if after such action or event such resulting, surviving, transferee or successor entity (which entity is the successor-in-interest to Party A) is directly or indirectly owned or controlled by Party A’s Credit Support Provider and the Credit Support Documents supporting Party A’s obligations remain in full force and effect, or (2)  so long as in connection with or after such action or event X or its successor or transferee provides (or causes to be provided) to the other party (“Y”) on the date of the transfer Eligible Credit Support in an amount satisfactory to Y in its sole discretion.  If such Eligible Credit Support is provided, it shall be in addition to Eligible Credit Support required under the ISDA Credit Support Annex attached hereto as </w:t>
      </w:r>
      <w:r>
        <w:rPr>
          <w:u w:val="single"/>
        </w:rPr>
        <w:t>Annex A</w:t>
      </w:r>
      <w:r>
        <w:rPr/>
        <w:t xml:space="preserve">, but it shall be otherwise administered under </w:t>
      </w:r>
      <w:r>
        <w:rPr>
          <w:u w:val="single"/>
        </w:rPr>
        <w:t>Annex A</w:t>
      </w:r>
      <w:r>
        <w:rPr/>
        <w:t>; or”.</w:t>
      </w:r>
    </w:p>
    <w:p>
      <w:pPr>
        <w:pStyle w:val="BodyTextJ"/>
        <w:numPr>
          <w:ilvl w:val="0"/>
          <w:numId w:val="2"/>
        </w:numPr>
        <w:tabs>
          <w:tab w:val="left" w:pos="720" w:leader="none"/>
        </w:tabs>
        <w:rPr/>
      </w:pPr>
      <w:r>
        <w:rPr>
          <w:b/>
          <w:i/>
        </w:rPr>
        <w:t>Early Termination.</w:t>
      </w:r>
    </w:p>
    <w:p>
      <w:pPr>
        <w:pStyle w:val="BodyText5J"/>
        <w:rPr/>
      </w:pPr>
      <w:r>
        <w:rPr/>
        <w:t>(i)</w:t>
        <w:tab/>
        <w:t>Section 6 is hereby amended by adding the following as a new subsection (f):</w:t>
      </w:r>
    </w:p>
    <w:p>
      <w:pPr>
        <w:pStyle w:val="BodyTextJ"/>
        <w:ind w:firstLine="720" w:end="0"/>
        <w:rPr/>
      </w:pPr>
      <w:r>
        <w:rPr/>
        <w:t>“</w:t>
      </w:r>
      <w:r>
        <w:rPr/>
        <w:t xml:space="preserve">(f) </w:t>
      </w:r>
      <w:r>
        <w:rPr>
          <w:b/>
        </w:rPr>
        <w:t>Set-off</w:t>
      </w:r>
      <w:r>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or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J"/>
        <w:ind w:firstLine="720" w:end="0"/>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BodyText5J"/>
        <w:rPr/>
      </w:pPr>
      <w:r>
        <w:rPr/>
        <w:t>(ii)  Section 6 is hereby amended by adding the following as a new subsection (g):</w:t>
      </w:r>
    </w:p>
    <w:p>
      <w:pPr>
        <w:pStyle w:val="BodyText5J"/>
        <w:rPr/>
      </w:pPr>
      <w:r>
        <w:rPr/>
        <w:t>“</w:t>
      </w:r>
      <w:r>
        <w:rPr/>
        <w:t xml:space="preserve">(g) </w:t>
      </w:r>
      <w:r>
        <w:rPr>
          <w:b/>
        </w:rPr>
        <w:t>Optional Termination</w:t>
      </w:r>
      <w:r>
        <w:rPr/>
        <w:t>.  Either Party may, upon thirty (30) days written notice to the other Party, terminate any Transactions under this Agreement by designating to such other Party the termination date for such Transactions.  In the event a Party exercises its right of optional termination hereunder, the provisions of Section 6(e)(i)(3) shall apply to such Transaction and a Settlement Amount shall be calculated based upon the average of three quotations from Reference Market-makers (one of which Reference Market-makers shall be selected by Party A, one of which shall be selected by Party B and one of which shall be mutually agreed upon by Party A and Party B).  Settlement Amount calculated pursuant to this subsection (g) shall be payable as provided in Section 6(e)(i)(3) assuming that the party electing to terminate any Transaction is the Defaulting Party.”</w:t>
      </w:r>
    </w:p>
    <w:p>
      <w:pPr>
        <w:pStyle w:val="BodyText5J"/>
        <w:numPr>
          <w:ilvl w:val="0"/>
          <w:numId w:val="2"/>
        </w:numPr>
        <w:tabs>
          <w:tab w:val="left" w:pos="720" w:leader="none"/>
        </w:tabs>
        <w:rPr/>
      </w:pPr>
      <w:r>
        <w:rPr>
          <w:b/>
          <w:i/>
        </w:rPr>
        <w:t>“</w:t>
      </w:r>
      <w:r>
        <w:rPr>
          <w:b/>
          <w:i/>
        </w:rPr>
        <w:t>Termination Currency”</w:t>
      </w:r>
      <w:r>
        <w:rPr/>
        <w:t xml:space="preserve"> means United States Dollars.</w:t>
      </w:r>
    </w:p>
    <w:p>
      <w:pPr>
        <w:pStyle w:val="BodyTextJ"/>
        <w:rPr>
          <w:b/>
        </w:rPr>
      </w:pPr>
      <w:r>
        <w:rPr>
          <w:b/>
        </w:rPr>
        <w:t>Part 2. Agreement to Deliver Documents.</w:t>
      </w:r>
    </w:p>
    <w:p>
      <w:pPr>
        <w:pStyle w:val="BodyTextJ"/>
        <w:rPr/>
      </w:pPr>
      <w:r>
        <w:rPr/>
        <w:t>For the purpose of Section 4(a) of this Agreement, each party agrees to deliver the following documents, as applicable:</w:t>
      </w:r>
    </w:p>
    <w:tbl>
      <w:tblPr>
        <w:tblW w:w="9536" w:type="dxa"/>
        <w:jc w:val="start"/>
        <w:tblInd w:w="0" w:type="dxa"/>
        <w:tblLayout w:type="fixed"/>
        <w:tblCellMar>
          <w:top w:w="0" w:type="dxa"/>
          <w:start w:w="108" w:type="dxa"/>
          <w:bottom w:w="0" w:type="dxa"/>
          <w:end w:w="108" w:type="dxa"/>
        </w:tblCellMar>
      </w:tblPr>
      <w:tblGrid>
        <w:gridCol w:w="2394"/>
        <w:gridCol w:w="2923"/>
        <w:gridCol w:w="2779"/>
        <w:gridCol w:w="1440"/>
      </w:tblGrid>
      <w:tr>
        <w:trPr>
          <w:tblHeader w:val="true"/>
        </w:trPr>
        <w:tc>
          <w:tcPr>
            <w:tcW w:w="2394" w:type="dxa"/>
            <w:tcBorders/>
            <w:vAlign w:val="bottom"/>
          </w:tcPr>
          <w:p>
            <w:pPr>
              <w:pStyle w:val="TableTitle"/>
              <w:keepNext w:val="true"/>
              <w:pBdr>
                <w:bottom w:val="single" w:sz="8" w:space="1" w:color="000000"/>
              </w:pBdr>
              <w:spacing w:before="120" w:after="0"/>
              <w:jc w:val="center"/>
              <w:rPr/>
            </w:pPr>
            <w:r>
              <w:rPr/>
              <w:t>PARTY</w:t>
              <w:br/>
              <w:t>REQUIRED</w:t>
              <w:br/>
              <w:t>TO DELIVER</w:t>
            </w:r>
          </w:p>
        </w:tc>
        <w:tc>
          <w:tcPr>
            <w:tcW w:w="2923" w:type="dxa"/>
            <w:tcBorders/>
            <w:vAlign w:val="bottom"/>
          </w:tcPr>
          <w:p>
            <w:pPr>
              <w:pStyle w:val="TableTitle"/>
              <w:keepNext w:val="true"/>
              <w:pBdr>
                <w:bottom w:val="single" w:sz="8" w:space="1" w:color="000000"/>
              </w:pBdr>
              <w:spacing w:before="120" w:after="0"/>
              <w:jc w:val="center"/>
              <w:rPr/>
            </w:pPr>
            <w:r>
              <w:rPr/>
              <w:t>FORM/DOCUMENT/</w:t>
              <w:br/>
              <w:t>CERTIFICATE</w:t>
            </w:r>
          </w:p>
        </w:tc>
        <w:tc>
          <w:tcPr>
            <w:tcW w:w="2779" w:type="dxa"/>
            <w:tcBorders/>
            <w:vAlign w:val="bottom"/>
          </w:tcPr>
          <w:p>
            <w:pPr>
              <w:pStyle w:val="TableTitle"/>
              <w:keepNext w:val="true"/>
              <w:pBdr>
                <w:bottom w:val="single" w:sz="8" w:space="1" w:color="000000"/>
              </w:pBdr>
              <w:spacing w:before="120" w:after="0"/>
              <w:jc w:val="center"/>
              <w:rPr/>
            </w:pPr>
            <w:r>
              <w:rPr/>
              <w:t>DATE BY</w:t>
              <w:br/>
              <w:t>WHICH TO BE</w:t>
              <w:br/>
              <w:t>DELIVERED</w:t>
            </w:r>
          </w:p>
        </w:tc>
        <w:tc>
          <w:tcPr>
            <w:tcW w:w="1440" w:type="dxa"/>
            <w:tcBorders/>
            <w:vAlign w:val="bottom"/>
          </w:tcPr>
          <w:p>
            <w:pPr>
              <w:pStyle w:val="TableTitle"/>
              <w:keepNext w:val="true"/>
              <w:pBdr>
                <w:bottom w:val="single" w:sz="8" w:space="1" w:color="000000"/>
              </w:pBdr>
              <w:spacing w:before="120" w:after="0"/>
              <w:jc w:val="center"/>
              <w:rPr/>
            </w:pPr>
            <w:r>
              <w:rPr/>
              <w:t>COVERED</w:t>
              <w:br/>
              <w:t>BY</w:t>
              <w:br/>
              <w:t>SECTION</w:t>
              <w:br/>
              <w:t>3(d)</w:t>
            </w:r>
          </w:p>
        </w:tc>
      </w:tr>
      <w:tr>
        <w:trPr/>
        <w:tc>
          <w:tcPr>
            <w:tcW w:w="2394" w:type="dxa"/>
            <w:tcBorders/>
          </w:tcPr>
          <w:p>
            <w:pPr>
              <w:pStyle w:val="TableText"/>
              <w:spacing w:before="120" w:after="0"/>
              <w:rPr/>
            </w:pPr>
            <w:r>
              <w:rPr/>
              <w:t>Party A and Party B</w:t>
            </w:r>
          </w:p>
        </w:tc>
        <w:tc>
          <w:tcPr>
            <w:tcW w:w="2923" w:type="dxa"/>
            <w:tcBorders/>
          </w:tcPr>
          <w:p>
            <w:pPr>
              <w:pStyle w:val="TableText"/>
              <w:spacing w:before="120" w:after="0"/>
              <w:rPr/>
            </w:pPr>
            <w:r>
              <w:rPr/>
              <w:t>Certified copies of all documents evidencing necessary corporate and other authorizations and approvals with respect to the execution, delivery and performance by the party and any Credit Support Provider of this Agreement, any Credit Support Document and any Confirmation, including, where applicable, certified copies of the resolutions of its Board of Directors authorizing the execution and delivery of this Agreement, the relevant Credit Support Document or any Confirmation and copies of its and its Credit Support Provider’s articles of incorporation and by-laws.</w:t>
            </w:r>
          </w:p>
        </w:tc>
        <w:tc>
          <w:tcPr>
            <w:tcW w:w="2779" w:type="dxa"/>
            <w:tcBorders/>
          </w:tcPr>
          <w:p>
            <w:pPr>
              <w:pStyle w:val="TableText"/>
              <w:spacing w:before="120" w:after="0"/>
              <w:rPr/>
            </w:pPr>
            <w:r>
              <w:rPr/>
              <w:t>Upon execution of this Agreement.</w:t>
            </w:r>
          </w:p>
        </w:tc>
        <w:tc>
          <w:tcPr>
            <w:tcW w:w="1440" w:type="dxa"/>
            <w:tcBorders/>
          </w:tcPr>
          <w:p>
            <w:pPr>
              <w:pStyle w:val="TableText"/>
              <w:spacing w:before="120" w:after="0"/>
              <w:jc w:val="center"/>
              <w:rPr/>
            </w:pPr>
            <w:r>
              <w:rPr/>
              <w:t>Yes</w:t>
            </w:r>
          </w:p>
        </w:tc>
      </w:tr>
      <w:tr>
        <w:trPr/>
        <w:tc>
          <w:tcPr>
            <w:tcW w:w="2394" w:type="dxa"/>
            <w:tcBorders/>
          </w:tcPr>
          <w:p>
            <w:pPr>
              <w:pStyle w:val="TableText"/>
              <w:spacing w:before="120" w:after="0"/>
              <w:rPr/>
            </w:pPr>
            <w:r>
              <w:rPr/>
              <w:t>Party A and Party B</w:t>
            </w:r>
          </w:p>
        </w:tc>
        <w:tc>
          <w:tcPr>
            <w:tcW w:w="2923" w:type="dxa"/>
            <w:tcBorders/>
          </w:tcPr>
          <w:p>
            <w:pPr>
              <w:pStyle w:val="TableText"/>
              <w:spacing w:before="120" w:after="0"/>
              <w:rPr/>
            </w:pPr>
            <w:r>
              <w:rPr/>
              <w:t>A certificate of an authorized officer of the party and any Credit Support Provider as to the incumbency and authority of the officers of the party and any Credit Support Provider signing this Agreement and any Credit Support Document.</w:t>
            </w:r>
          </w:p>
        </w:tc>
        <w:tc>
          <w:tcPr>
            <w:tcW w:w="2779" w:type="dxa"/>
            <w:tcBorders/>
          </w:tcPr>
          <w:p>
            <w:pPr>
              <w:pStyle w:val="TableText"/>
              <w:spacing w:before="120" w:after="0"/>
              <w:rPr/>
            </w:pPr>
            <w:r>
              <w:rPr/>
              <w:t>Upon execution of this Agreement.</w:t>
            </w:r>
          </w:p>
        </w:tc>
        <w:tc>
          <w:tcPr>
            <w:tcW w:w="1440" w:type="dxa"/>
            <w:tcBorders/>
          </w:tcPr>
          <w:p>
            <w:pPr>
              <w:pStyle w:val="TableText"/>
              <w:spacing w:before="120" w:after="0"/>
              <w:jc w:val="center"/>
              <w:rPr/>
            </w:pPr>
            <w:r>
              <w:rPr/>
              <w:t>Yes</w:t>
            </w:r>
          </w:p>
        </w:tc>
      </w:tr>
      <w:tr>
        <w:trPr/>
        <w:tc>
          <w:tcPr>
            <w:tcW w:w="2394" w:type="dxa"/>
            <w:tcBorders/>
          </w:tcPr>
          <w:p>
            <w:pPr>
              <w:pStyle w:val="TableText"/>
              <w:spacing w:before="120" w:after="0"/>
              <w:rPr/>
            </w:pPr>
            <w:r>
              <w:rPr/>
              <w:t>Party A</w:t>
            </w:r>
          </w:p>
        </w:tc>
        <w:tc>
          <w:tcPr>
            <w:tcW w:w="2923" w:type="dxa"/>
            <w:tcBorders/>
          </w:tcPr>
          <w:p>
            <w:pPr>
              <w:pStyle w:val="TableText"/>
              <w:spacing w:before="120" w:after="0"/>
              <w:rPr/>
            </w:pPr>
            <w:r>
              <w:rPr/>
              <w:t>Guaranty of Enron Corp. in a form acceptable to Party B.</w:t>
            </w:r>
          </w:p>
        </w:tc>
        <w:tc>
          <w:tcPr>
            <w:tcW w:w="2779" w:type="dxa"/>
            <w:tcBorders/>
          </w:tcPr>
          <w:p>
            <w:pPr>
              <w:pStyle w:val="TableText"/>
              <w:spacing w:before="120" w:after="0"/>
              <w:rPr/>
            </w:pPr>
            <w:r>
              <w:rPr/>
              <w:t>Upon execution of this Agreement.</w:t>
            </w:r>
          </w:p>
        </w:tc>
        <w:tc>
          <w:tcPr>
            <w:tcW w:w="1440" w:type="dxa"/>
            <w:tcBorders/>
          </w:tcPr>
          <w:p>
            <w:pPr>
              <w:pStyle w:val="TableText"/>
              <w:spacing w:before="120" w:after="0"/>
              <w:jc w:val="center"/>
              <w:rPr/>
            </w:pPr>
            <w:r>
              <w:rPr/>
              <w:t>Yes</w:t>
            </w:r>
          </w:p>
        </w:tc>
      </w:tr>
      <w:tr>
        <w:trPr/>
        <w:tc>
          <w:tcPr>
            <w:tcW w:w="2394" w:type="dxa"/>
            <w:tcBorders/>
          </w:tcPr>
          <w:p>
            <w:pPr>
              <w:pStyle w:val="TableText"/>
              <w:spacing w:before="120" w:after="0"/>
              <w:rPr/>
            </w:pPr>
            <w:r>
              <w:rPr/>
              <w:t>Party A and Party B</w:t>
            </w:r>
          </w:p>
        </w:tc>
        <w:tc>
          <w:tcPr>
            <w:tcW w:w="2923" w:type="dxa"/>
            <w:tcBorders/>
          </w:tcPr>
          <w:p>
            <w:pPr>
              <w:pStyle w:val="TableText"/>
              <w:spacing w:before="120" w:after="0"/>
              <w:rPr/>
            </w:pPr>
            <w:r>
              <w:rPr/>
              <w:t>Annual audited consolidated financial statements (and each audited financial statements thereafter) of Party A’s Credit Support Provider and of Party B, containing in all cases audited consolidated financial statements for each fiscal year during which this Agreement is in effect certified by independent certified public accountants and prepared in accordance with generally accepted accounting principles in the United States.</w:t>
            </w:r>
          </w:p>
        </w:tc>
        <w:tc>
          <w:tcPr>
            <w:tcW w:w="2779" w:type="dxa"/>
            <w:tcBorders/>
          </w:tcPr>
          <w:p>
            <w:pPr>
              <w:pStyle w:val="TableText"/>
              <w:spacing w:before="120" w:after="0"/>
              <w:rPr/>
            </w:pPr>
            <w:r>
              <w:rPr/>
              <w:t>Promptly after request by the other party, but in no event earlier than 120 days after the end of such party’s fiscal year.</w:t>
            </w:r>
          </w:p>
        </w:tc>
        <w:tc>
          <w:tcPr>
            <w:tcW w:w="1440" w:type="dxa"/>
            <w:tcBorders/>
          </w:tcPr>
          <w:p>
            <w:pPr>
              <w:pStyle w:val="TableText"/>
              <w:spacing w:before="120" w:after="0"/>
              <w:jc w:val="center"/>
              <w:rPr/>
            </w:pPr>
            <w:r>
              <w:rPr/>
              <w:t>Yes</w:t>
            </w:r>
          </w:p>
        </w:tc>
      </w:tr>
      <w:tr>
        <w:trPr/>
        <w:tc>
          <w:tcPr>
            <w:tcW w:w="2394" w:type="dxa"/>
            <w:tcBorders/>
          </w:tcPr>
          <w:p>
            <w:pPr>
              <w:pStyle w:val="TableText"/>
              <w:spacing w:before="120" w:after="0"/>
              <w:rPr/>
            </w:pPr>
            <w:r>
              <w:rPr/>
              <w:t>Party A and Party B</w:t>
            </w:r>
          </w:p>
        </w:tc>
        <w:tc>
          <w:tcPr>
            <w:tcW w:w="2923" w:type="dxa"/>
            <w:tcBorders/>
          </w:tcPr>
          <w:p>
            <w:pPr>
              <w:pStyle w:val="TableText"/>
              <w:spacing w:before="120" w:after="0"/>
              <w:rPr/>
            </w:pPr>
            <w:r>
              <w:rPr/>
              <w:t>Quarterly unaudited consolidated financial statements of Party A’s Credit Support Provider and of Party B, in each case for each fiscal quarter during which this Agreement is in effect prepared in accordance with generally accepted accounting principles in the United States.</w:t>
            </w:r>
          </w:p>
        </w:tc>
        <w:tc>
          <w:tcPr>
            <w:tcW w:w="2779" w:type="dxa"/>
            <w:tcBorders/>
          </w:tcPr>
          <w:p>
            <w:pPr>
              <w:pStyle w:val="TableText"/>
              <w:spacing w:before="120" w:after="0"/>
              <w:rPr/>
            </w:pPr>
            <w:r>
              <w:rPr/>
              <w:t>Promptly after request by the other party, but in no event earlier than 60 days after the end of each  fiscal quarter of such party.</w:t>
            </w:r>
          </w:p>
        </w:tc>
        <w:tc>
          <w:tcPr>
            <w:tcW w:w="1440" w:type="dxa"/>
            <w:tcBorders/>
          </w:tcPr>
          <w:p>
            <w:pPr>
              <w:pStyle w:val="TableText"/>
              <w:spacing w:before="120" w:after="0"/>
              <w:jc w:val="center"/>
              <w:rPr/>
            </w:pPr>
            <w:r>
              <w:rPr/>
              <w:t>Yes.</w:t>
            </w:r>
          </w:p>
        </w:tc>
      </w:tr>
      <w:tr>
        <w:trPr/>
        <w:tc>
          <w:tcPr>
            <w:tcW w:w="2394" w:type="dxa"/>
            <w:tcBorders/>
          </w:tcPr>
          <w:p>
            <w:pPr>
              <w:pStyle w:val="TableText"/>
              <w:spacing w:before="120" w:after="0"/>
              <w:rPr/>
            </w:pPr>
            <w:r>
              <w:rPr/>
              <w:t>Party A and Party B</w:t>
            </w:r>
          </w:p>
        </w:tc>
        <w:tc>
          <w:tcPr>
            <w:tcW w:w="2923" w:type="dxa"/>
            <w:tcBorders/>
          </w:tcPr>
          <w:p>
            <w:pPr>
              <w:pStyle w:val="TableText"/>
              <w:spacing w:before="120" w:after="0"/>
              <w:rPr/>
            </w:pPr>
            <w:r>
              <w:rPr/>
              <w:t>An opinion of counsel to such party and any Credit Support Provider for such Party in form acceptable to the other party.</w:t>
            </w:r>
          </w:p>
        </w:tc>
        <w:tc>
          <w:tcPr>
            <w:tcW w:w="2779" w:type="dxa"/>
            <w:tcBorders/>
          </w:tcPr>
          <w:p>
            <w:pPr>
              <w:pStyle w:val="TableText"/>
              <w:spacing w:before="120" w:after="0"/>
              <w:rPr/>
            </w:pPr>
            <w:r>
              <w:rPr/>
              <w:t>Upon execution of this Agreement.</w:t>
            </w:r>
          </w:p>
        </w:tc>
        <w:tc>
          <w:tcPr>
            <w:tcW w:w="1440" w:type="dxa"/>
            <w:tcBorders/>
          </w:tcPr>
          <w:p>
            <w:pPr>
              <w:pStyle w:val="TableText"/>
              <w:spacing w:before="120" w:after="0"/>
              <w:jc w:val="center"/>
              <w:rPr/>
            </w:pPr>
            <w:r>
              <w:rPr/>
              <w:t>No</w:t>
            </w:r>
          </w:p>
        </w:tc>
      </w:tr>
    </w:tbl>
    <w:p>
      <w:pPr>
        <w:pStyle w:val="BodyTextJ"/>
        <w:rPr/>
      </w:pPr>
      <w:r>
        <w:rPr/>
      </w:r>
    </w:p>
    <w:p>
      <w:pPr>
        <w:pStyle w:val="BodyTextJ"/>
        <w:rPr>
          <w:b/>
        </w:rPr>
      </w:pPr>
      <w:r>
        <w:rPr>
          <w:b/>
        </w:rPr>
        <w:t>Part 3. Miscellaneous.</w:t>
      </w:r>
    </w:p>
    <w:p>
      <w:pPr>
        <w:pStyle w:val="BodyTextJ"/>
        <w:rPr/>
      </w:pPr>
      <w:r>
        <w:rPr/>
        <w:t>(a)</w:t>
      </w:r>
      <w:r>
        <w:rPr>
          <w:b/>
          <w:i/>
        </w:rPr>
        <w:tab/>
        <w:t>Notices.</w:t>
      </w:r>
      <w:r>
        <w:rPr/>
        <w:t xml:space="preserve"> Section 10(a) is amended to delete the following phase from the second and third lines thereof:  “(except that a notice or other communication under Section 5 or 6 may not be given by facsimile transmission or electronic messaging system)”. For the purpose of Section 10(a) of this Agreement:</w:t>
      </w:r>
    </w:p>
    <w:p>
      <w:pPr>
        <w:pStyle w:val="BodyText5J"/>
        <w:spacing w:before="0" w:after="0"/>
        <w:rPr/>
      </w:pPr>
      <w:r>
        <w:rPr/>
        <w:t>Address for notices or communications to Party A:</w:t>
      </w:r>
    </w:p>
    <w:p>
      <w:pPr>
        <w:pStyle w:val="Signature"/>
        <w:spacing w:before="0" w:after="0"/>
        <w:ind w:hanging="1440" w:start="2160" w:end="0"/>
        <w:rPr/>
      </w:pPr>
      <w:r>
        <w:rPr/>
      </w:r>
    </w:p>
    <w:p>
      <w:pPr>
        <w:pStyle w:val="Signature"/>
        <w:spacing w:before="0" w:after="0"/>
        <w:ind w:hanging="1980" w:start="2700" w:end="0"/>
        <w:rPr/>
      </w:pPr>
      <w:r>
        <w:rPr/>
        <w:t>Address:</w:t>
        <w:tab/>
        <w:t>Enron North America Corp.</w:t>
      </w:r>
    </w:p>
    <w:p>
      <w:pPr>
        <w:pStyle w:val="Signature"/>
        <w:spacing w:before="0" w:after="0"/>
        <w:ind w:hanging="1440" w:start="2700" w:end="0"/>
        <w:rPr/>
      </w:pPr>
      <w:r>
        <w:rPr/>
        <w:tab/>
        <w:t>P.O. Box 4428</w:t>
      </w:r>
    </w:p>
    <w:p>
      <w:pPr>
        <w:pStyle w:val="Signature"/>
        <w:spacing w:before="0" w:after="0"/>
        <w:ind w:hanging="1440" w:start="2700" w:end="0"/>
        <w:rPr/>
      </w:pPr>
      <w:r>
        <w:rPr/>
        <w:tab/>
        <w:t>Houston, Texas  77210-4428</w:t>
      </w:r>
    </w:p>
    <w:p>
      <w:pPr>
        <w:pStyle w:val="Signature"/>
        <w:spacing w:before="0" w:after="0"/>
        <w:ind w:hanging="1440" w:start="2700" w:end="0"/>
        <w:rPr/>
      </w:pPr>
      <w:r>
        <w:rPr/>
      </w:r>
    </w:p>
    <w:p>
      <w:pPr>
        <w:pStyle w:val="Signature"/>
        <w:tabs>
          <w:tab w:val="left" w:pos="2700" w:leader="none"/>
          <w:tab w:val="right" w:pos="8640" w:leader="none"/>
        </w:tabs>
        <w:spacing w:before="0" w:after="0"/>
        <w:ind w:hanging="1440" w:start="2160" w:end="0"/>
        <w:rPr/>
      </w:pPr>
      <w:r>
        <w:rPr/>
        <w:t>Courier Delivery:</w:t>
        <w:tab/>
        <w:t>1400 Smith Street</w:t>
      </w:r>
    </w:p>
    <w:p>
      <w:pPr>
        <w:pStyle w:val="Signature"/>
        <w:tabs>
          <w:tab w:val="left" w:pos="2700" w:leader="none"/>
          <w:tab w:val="right" w:pos="8640" w:leader="none"/>
        </w:tabs>
        <w:spacing w:before="0" w:after="0"/>
        <w:ind w:hanging="1440" w:start="2160" w:end="0"/>
        <w:rPr/>
      </w:pPr>
      <w:r>
        <w:rPr/>
        <w:tab/>
        <w:tab/>
        <w:t>Houston, Texas  77002</w:t>
      </w:r>
    </w:p>
    <w:p>
      <w:pPr>
        <w:pStyle w:val="BodyText5J"/>
        <w:tabs>
          <w:tab w:val="clear" w:pos="720"/>
          <w:tab w:val="left" w:pos="2160" w:leader="none"/>
          <w:tab w:val="left" w:pos="3960" w:leader="none"/>
        </w:tabs>
        <w:spacing w:before="0" w:after="0"/>
        <w:rPr/>
      </w:pPr>
      <w:r>
        <w:rPr/>
      </w:r>
    </w:p>
    <w:p>
      <w:pPr>
        <w:pStyle w:val="BodyText5J"/>
        <w:tabs>
          <w:tab w:val="clear" w:pos="720"/>
          <w:tab w:val="left" w:pos="2160" w:leader="none"/>
          <w:tab w:val="left" w:pos="3960" w:leader="none"/>
        </w:tabs>
        <w:spacing w:before="0" w:after="0"/>
        <w:rPr/>
      </w:pPr>
      <w:r>
        <w:rPr/>
        <w:t xml:space="preserve">Fax No.: </w:t>
        <w:tab/>
        <w:t xml:space="preserve">713-646-4816 </w:t>
        <w:tab/>
        <w:t>Telephone No.:  713-853-3300</w:t>
      </w:r>
    </w:p>
    <w:p>
      <w:pPr>
        <w:pStyle w:val="BodyText5J"/>
        <w:rPr/>
      </w:pPr>
      <w:r>
        <w:rPr/>
      </w:r>
    </w:p>
    <w:p>
      <w:pPr>
        <w:pStyle w:val="BodyText5J"/>
        <w:rPr/>
      </w:pPr>
      <w:r>
        <w:rPr/>
        <w:t>with, in the case of a notice sent pursuant to Section 5 or 6 a copy to:</w:t>
      </w:r>
    </w:p>
    <w:p>
      <w:pPr>
        <w:pStyle w:val="BodyText1J"/>
        <w:spacing w:before="0" w:after="0"/>
        <w:rPr/>
      </w:pPr>
      <w:r>
        <w:rPr/>
        <w:tab/>
        <w:t>Enron North America, at the above address</w:t>
      </w:r>
    </w:p>
    <w:p>
      <w:pPr>
        <w:pStyle w:val="BodyText1J"/>
        <w:spacing w:before="0" w:after="0"/>
        <w:rPr/>
      </w:pPr>
      <w:r>
        <w:rPr/>
        <w:tab/>
        <w:t>Attention:  Corporate Secretary</w:t>
      </w:r>
    </w:p>
    <w:p>
      <w:pPr>
        <w:pStyle w:val="BodyText1J"/>
        <w:spacing w:before="0" w:after="0"/>
        <w:rPr/>
      </w:pPr>
      <w:r>
        <w:rPr/>
        <w:tab/>
        <w:t>Fax No.:  713-853-2534</w:t>
      </w:r>
    </w:p>
    <w:p>
      <w:pPr>
        <w:pStyle w:val="BodyText1J"/>
        <w:spacing w:before="0" w:after="0"/>
        <w:rPr/>
      </w:pPr>
      <w:r>
        <w:rPr/>
      </w:r>
    </w:p>
    <w:p>
      <w:pPr>
        <w:pStyle w:val="BodyText1J"/>
        <w:spacing w:before="0" w:after="0"/>
        <w:rPr/>
      </w:pPr>
      <w:r>
        <w:rPr/>
        <w:tab/>
        <w:t>Enron North America, at the above address</w:t>
      </w:r>
    </w:p>
    <w:p>
      <w:pPr>
        <w:pStyle w:val="BodyText1J"/>
        <w:spacing w:before="0" w:after="0"/>
        <w:rPr/>
      </w:pPr>
      <w:r>
        <w:rPr/>
        <w:tab/>
        <w:t>Attention:  Assistant General Counsel, Trading Group</w:t>
      </w:r>
    </w:p>
    <w:p>
      <w:pPr>
        <w:pStyle w:val="BodyText1J"/>
        <w:spacing w:before="0" w:after="0"/>
        <w:rPr/>
      </w:pPr>
      <w:r>
        <w:rPr/>
        <w:tab/>
        <w:t>Fax No.:  713-646-4818</w:t>
      </w:r>
    </w:p>
    <w:p>
      <w:pPr>
        <w:pStyle w:val="BodyText1J"/>
        <w:rPr/>
      </w:pPr>
      <w:r>
        <w:rPr/>
      </w:r>
    </w:p>
    <w:p>
      <w:pPr>
        <w:pStyle w:val="BodyText5J"/>
        <w:rPr/>
      </w:pPr>
      <w:r>
        <w:rPr/>
        <w:t>Address for notice or communications to Party B:</w:t>
      </w:r>
    </w:p>
    <w:p>
      <w:pPr>
        <w:pStyle w:val="BodyText5J"/>
        <w:spacing w:before="0" w:after="0"/>
        <w:ind w:hanging="1440" w:start="2160" w:end="0"/>
        <w:rPr/>
      </w:pPr>
      <w:r>
        <w:rPr/>
        <w:t xml:space="preserve">Address: </w:t>
        <w:tab/>
        <w:t>Sacramento Municipal Utility District</w:t>
      </w:r>
    </w:p>
    <w:p>
      <w:pPr>
        <w:pStyle w:val="Signature"/>
        <w:spacing w:before="0" w:after="0"/>
        <w:ind w:hanging="1440" w:start="2160" w:end="0"/>
        <w:rPr/>
      </w:pPr>
      <w:r>
        <w:rPr/>
        <w:tab/>
        <w:t>6201 S Street</w:t>
      </w:r>
    </w:p>
    <w:p>
      <w:pPr>
        <w:pStyle w:val="Signature"/>
        <w:spacing w:before="0" w:after="0"/>
        <w:ind w:hanging="1440" w:start="2160" w:end="0"/>
        <w:rPr/>
      </w:pPr>
      <w:r>
        <w:rPr/>
        <w:tab/>
        <w:t>Sacramento, California 95817-1899</w:t>
      </w:r>
    </w:p>
    <w:p>
      <w:pPr>
        <w:pStyle w:val="BodyText5J"/>
        <w:spacing w:before="0" w:after="0"/>
        <w:ind w:hanging="1440" w:start="2160" w:end="0"/>
        <w:rPr/>
      </w:pPr>
      <w:r>
        <w:rPr/>
        <w:tab/>
        <w:t>Attention:</w:t>
        <w:tab/>
        <w:t>Treasurer</w:t>
      </w:r>
    </w:p>
    <w:p>
      <w:pPr>
        <w:pStyle w:val="BodyText5J"/>
        <w:spacing w:before="0" w:after="0"/>
        <w:ind w:hanging="0" w:start="720" w:end="0"/>
        <w:rPr/>
      </w:pPr>
      <w:r>
        <w:rPr/>
      </w:r>
    </w:p>
    <w:p>
      <w:pPr>
        <w:pStyle w:val="BodyText5J"/>
        <w:tabs>
          <w:tab w:val="clear" w:pos="720"/>
          <w:tab w:val="left" w:pos="2160" w:leader="none"/>
          <w:tab w:val="left" w:pos="3960" w:leader="none"/>
        </w:tabs>
        <w:jc w:val="start"/>
        <w:rPr/>
      </w:pPr>
      <w:r>
        <w:rPr/>
        <w:t>Fax No.:</w:t>
        <w:tab/>
        <w:t>916-732-5835</w:t>
        <w:tab/>
        <w:t>Telephone No.:  916-732-6492</w:t>
      </w:r>
    </w:p>
    <w:p>
      <w:pPr>
        <w:pStyle w:val="BodyTextJ"/>
        <w:rPr/>
      </w:pPr>
      <w:r>
        <w:rPr/>
        <w:t>(b)</w:t>
      </w:r>
      <w:r>
        <w:rPr>
          <w:b/>
          <w:i/>
        </w:rPr>
        <w:tab/>
        <w:t>Calculation Agent.</w:t>
      </w:r>
      <w:r>
        <w:rPr/>
        <w:t xml:space="preserve">  The Calculation Agent is Party A.</w:t>
      </w:r>
    </w:p>
    <w:p>
      <w:pPr>
        <w:pStyle w:val="BodyTextJ"/>
        <w:rPr/>
      </w:pPr>
      <w:r>
        <w:rPr/>
        <w:t>(c)</w:t>
      </w:r>
      <w:r>
        <w:rPr>
          <w:b/>
          <w:i/>
        </w:rPr>
        <w:tab/>
        <w:t>Credit Support Document.</w:t>
      </w:r>
      <w:r>
        <w:rPr/>
        <w:t xml:space="preserve">  Details of any Credit Support Document: in relation to Party A means the Guarantee of Enron Corp. attached as Exhibit __ and the Credit Support Annex attached hereto, and in relation to Party B means none unless otherwise provided in a Confimation.</w:t>
      </w:r>
    </w:p>
    <w:p>
      <w:pPr>
        <w:pStyle w:val="BodyTextJ"/>
        <w:rPr/>
      </w:pPr>
      <w:r>
        <w:rPr/>
        <w:t>(d)</w:t>
      </w:r>
      <w:r>
        <w:rPr>
          <w:b/>
          <w:i/>
        </w:rPr>
        <w:tab/>
        <w:t>Credit Support Provider.</w:t>
      </w:r>
      <w:r>
        <w:rPr/>
        <w:t xml:space="preserve">  Credit Support Provider means in relation to Party A, Enron Corp., and means in relation to Party B, none.</w:t>
      </w:r>
    </w:p>
    <w:p>
      <w:pPr>
        <w:pStyle w:val="BodyTextJ"/>
        <w:rPr/>
      </w:pPr>
      <w:r>
        <w:rPr/>
        <w:t>(e)</w:t>
      </w:r>
      <w:r>
        <w:rPr>
          <w:b/>
          <w:i/>
        </w:rPr>
        <w:tab/>
        <w:t>Governing Law.</w:t>
      </w:r>
      <w:r>
        <w:rPr/>
        <w:t xml:space="preserve">  This Agreement will be governed by and construed in accordance with the laws of the State of New York (without reference to choice of law doctrine).</w:t>
      </w:r>
    </w:p>
    <w:p>
      <w:pPr>
        <w:pStyle w:val="BodyTextJ"/>
        <w:rPr/>
      </w:pPr>
      <w:r>
        <w:rPr/>
        <w:t>(f)</w:t>
      </w:r>
      <w:r>
        <w:rPr>
          <w:b/>
          <w:i/>
        </w:rPr>
        <w:tab/>
        <w:t>Netting of Payments.</w:t>
      </w:r>
      <w:r>
        <w:rPr/>
        <w:t xml:space="preserve">  Subparagraph (ii) of Section 2(c) of this Agreement will not apply to all Transactions entered into between Party A and Party B.</w:t>
      </w:r>
    </w:p>
    <w:p>
      <w:pPr>
        <w:pStyle w:val="BodyTextJ"/>
        <w:rPr/>
      </w:pPr>
      <w:r>
        <w:rPr/>
        <w:t>(g)</w:t>
      </w:r>
      <w:r>
        <w:rPr>
          <w:b/>
          <w:i/>
        </w:rPr>
        <w:tab/>
        <w:t>“Affiliate”</w:t>
      </w:r>
      <w:r>
        <w:rPr/>
        <w:t xml:space="preserve"> will have the meaning specified in Section 12 of this Agreement, but with respect to Party B, will exclude any joint power agency of which Party B is a member or is otherwise related.</w:t>
      </w:r>
    </w:p>
    <w:p>
      <w:pPr>
        <w:pStyle w:val="BodyTextJ"/>
        <w:rPr/>
      </w:pPr>
      <w:r>
        <w:rPr/>
        <w:t>(h)</w:t>
      </w:r>
      <w:r>
        <w:rPr>
          <w:b/>
          <w:i/>
        </w:rPr>
        <w:tab/>
        <w:t>“Government Entity”</w:t>
      </w:r>
      <w:r>
        <w:rPr/>
        <w:t xml:space="preserve"> means Party B.</w:t>
      </w:r>
    </w:p>
    <w:p>
      <w:pPr>
        <w:pStyle w:val="BodyTextJ"/>
        <w:rPr/>
      </w:pPr>
      <w:r>
        <w:rPr/>
        <w:t>(i)</w:t>
      </w:r>
      <w:r>
        <w:rPr>
          <w:b/>
          <w:i/>
        </w:rPr>
        <w:tab/>
        <w:t>Account details.</w:t>
      </w:r>
      <w:r>
        <w:rPr/>
        <w:t xml:space="preserve">  Payments shall be made to the following accounts:</w:t>
      </w:r>
    </w:p>
    <w:p>
      <w:pPr>
        <w:pStyle w:val="BodyText1J"/>
        <w:rPr/>
      </w:pPr>
      <w:r>
        <w:rPr/>
        <w:t>Payments to Party A:</w:t>
      </w:r>
    </w:p>
    <w:p>
      <w:pPr>
        <w:pStyle w:val="BodyText1J"/>
        <w:spacing w:before="0" w:after="0"/>
        <w:rPr/>
      </w:pPr>
      <w:r>
        <w:rPr/>
        <w:t>[</w:t>
      </w:r>
      <w:r>
        <w:rPr>
          <w:rFonts w:cs="Symbol" w:ascii="Symbol" w:hAnsi="Symbol"/>
        </w:rPr>
        <w:sym w:font="Symbol" w:char="f0b7"/>
      </w:r>
      <w:r>
        <w:rPr/>
        <w:t>]</w:t>
      </w:r>
    </w:p>
    <w:p>
      <w:pPr>
        <w:pStyle w:val="BodyText1J"/>
        <w:spacing w:before="0" w:after="0"/>
        <w:rPr/>
      </w:pPr>
      <w:r>
        <w:rPr/>
      </w:r>
    </w:p>
    <w:p>
      <w:pPr>
        <w:pStyle w:val="BodyText1J"/>
        <w:spacing w:before="0" w:after="0"/>
        <w:rPr/>
      </w:pPr>
      <w:r>
        <w:rPr/>
        <w:t>Payments to Party B:</w:t>
      </w:r>
    </w:p>
    <w:p>
      <w:pPr>
        <w:pStyle w:val="BodyText1J"/>
        <w:spacing w:before="0" w:after="0"/>
        <w:rPr/>
      </w:pPr>
      <w:r>
        <w:rPr/>
        <w:t>BK AMER SF/GENERAL/SMUD ABA # 1210-0035-8</w:t>
      </w:r>
    </w:p>
    <w:p>
      <w:pPr>
        <w:pStyle w:val="BodyText1J"/>
        <w:rPr/>
      </w:pPr>
      <w:r>
        <w:rPr/>
        <w:t>FOR FURTHER CREDIT TO SACRAMENTO CBO #1489 ACCOUNT NO. 01488-80182</w:t>
      </w:r>
    </w:p>
    <w:p>
      <w:pPr>
        <w:pStyle w:val="BodyText1J"/>
        <w:ind w:hanging="0" w:end="0"/>
        <w:rPr/>
      </w:pPr>
      <w:r>
        <w:rPr/>
        <w:t>(h)</w:t>
        <w:tab/>
      </w:r>
      <w:r>
        <w:rPr>
          <w:b/>
        </w:rPr>
        <w:t>Jurisdiction.</w:t>
      </w:r>
      <w:r>
        <w:rPr/>
        <w:t xml:space="preserve">  Section 11(b) is hereby deleted in its entirety and replaced with the following:</w:t>
      </w:r>
    </w:p>
    <w:p>
      <w:pPr>
        <w:pStyle w:val="BodyText1J"/>
        <w:ind w:firstLine="720" w:end="0"/>
        <w:rPr/>
      </w:pPr>
      <w:r>
        <w:rPr/>
        <w:t>(b)</w:t>
        <w:tab/>
      </w:r>
      <w:r>
        <w:rPr>
          <w:b/>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contracts, tort, or otherwise, at law or in equity, under state or federal law, whether provided by statute or the common law, for damages or any other relief, shall be resolved by binding arbitration.</w:t>
      </w:r>
    </w:p>
    <w:p>
      <w:pPr>
        <w:pStyle w:val="BodyText1J"/>
        <w:ind w:firstLine="720" w:end="0"/>
        <w:rPr/>
      </w:pPr>
      <w:r>
        <w:rPr>
          <w:b/>
        </w:rPr>
        <w:t>Conduct Of The Arbitration and Authority Of The Arbitrators:</w:t>
      </w:r>
      <w:r>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BodyText1J"/>
        <w:ind w:firstLine="720" w:end="0"/>
        <w:rPr/>
      </w:pPr>
      <w:r>
        <w:rPr>
          <w:b/>
        </w:rPr>
        <w:t>Forum For The Arbitration And Selection Of Arbitrators:</w:t>
      </w:r>
      <w:r>
        <w:rPr/>
        <w:t xml:space="preserve">  The arbitration proceeding shall be conducted in San Francisco.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BodyText1J"/>
        <w:ind w:firstLine="720" w:end="0"/>
        <w:rPr/>
      </w:pPr>
      <w:r>
        <w:rPr>
          <w:b/>
        </w:rPr>
        <w:t>Confidentiality:</w:t>
      </w:r>
      <w:r>
        <w:rPr/>
        <w:t xml:space="preserve">  To the fullest extent permitted by law, any arbitration proceeding and the arbitrators award shall be maintained in confidence by the parties.</w:t>
      </w:r>
    </w:p>
    <w:p>
      <w:pPr>
        <w:pStyle w:val="BodyTextJ"/>
        <w:rPr>
          <w:b/>
        </w:rPr>
      </w:pPr>
      <w:r>
        <w:rPr>
          <w:b/>
        </w:rPr>
        <w:t>Part 4. Other Provisions.</w:t>
      </w:r>
    </w:p>
    <w:p>
      <w:pPr>
        <w:pStyle w:val="BodyTextJ"/>
        <w:rPr/>
      </w:pPr>
      <w:r>
        <w:rPr/>
        <w:t>(a)</w:t>
      </w:r>
      <w:r>
        <w:rPr>
          <w:b/>
          <w:i/>
        </w:rPr>
        <w:tab/>
        <w:t>Conditions Precedent.</w:t>
      </w:r>
      <w:r>
        <w:rPr/>
        <w:t xml:space="preserve"> The condition set forth in clause (1) of Section 2(a)(iii) shall not apply to payments owed by a party if the other party shall have satisfied in full all of its payment obligations under Section 2(a)(i) and shall at the relevant time have no future payment obligations whether absolute or contingent, under Section 2(a)(i).</w:t>
      </w:r>
    </w:p>
    <w:p>
      <w:pPr>
        <w:pStyle w:val="BodyTextJ"/>
        <w:rPr/>
      </w:pPr>
      <w:r>
        <w:rPr>
          <w:i/>
        </w:rPr>
        <w:t>(b)</w:t>
        <w:tab/>
      </w:r>
      <w:r>
        <w:rPr>
          <w:b/>
          <w:i/>
        </w:rPr>
        <w:t>Representations.</w:t>
      </w:r>
    </w:p>
    <w:p>
      <w:pPr>
        <w:pStyle w:val="BodyText5J"/>
        <w:rPr/>
      </w:pPr>
      <w:r>
        <w:rPr/>
        <w:tab/>
        <w:t>(i)</w:t>
        <w:tab/>
        <w:t>Section 3(a) of this Agreement is hereby amended by adding the following subparagraphs (vi), (vii), (viii) and (ix):</w:t>
      </w:r>
    </w:p>
    <w:p>
      <w:pPr>
        <w:pStyle w:val="BodyText5J"/>
        <w:rPr/>
      </w:pPr>
      <w:r>
        <w:rPr/>
        <w:t>“</w:t>
      </w:r>
      <w:r>
        <w:rPr/>
        <w:t xml:space="preserve">(vi) </w:t>
      </w:r>
      <w:r>
        <w:rPr>
          <w:b/>
          <w:i/>
        </w:rPr>
        <w:t>Eligible Swap Participant</w:t>
      </w:r>
      <w:r>
        <w:rPr/>
        <w:t>.  It is an “eligible swap participant” within the meaning of Rule 35.1(b)(2) of the Commodity Futures Trading Commission, 17 C.F.R. Section 35.1(b)(2) (1993).</w:t>
      </w:r>
    </w:p>
    <w:p>
      <w:pPr>
        <w:pStyle w:val="BodyText5J"/>
        <w:rPr/>
      </w:pPr>
      <w:r>
        <w:rPr/>
        <w:t xml:space="preserve">(vii)  </w:t>
      </w:r>
      <w:r>
        <w:rPr>
          <w:i/>
        </w:rPr>
        <w:t>Commercial User</w:t>
      </w:r>
      <w:r>
        <w:rPr/>
        <w:t>.  (i) It is entering into this Agreement, including without limitation, any Credit Support Document to which it is a party and each Transaction, in conjunction with its line of business (including financial intermediation services) or the financing of its business; and (ii)  when it enters into a Transaction which is an option, it will be a producer, processor or commercial user of, or a merchant handling, the commodity covered by such Transaction (or the products or by-products thereof), and will enter into such Transaction solely for purposes related to its business as such.”</w:t>
      </w:r>
    </w:p>
    <w:p>
      <w:pPr>
        <w:pStyle w:val="BodyText5J"/>
        <w:rPr/>
      </w:pPr>
      <w:r>
        <w:rPr/>
        <w:t xml:space="preserve">(viii)  </w:t>
      </w:r>
      <w:r>
        <w:rPr>
          <w:i/>
        </w:rPr>
        <w:t>Customization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BodyText5J"/>
        <w:rPr/>
      </w:pPr>
      <w:r>
        <w:rPr/>
        <w:t xml:space="preserve">(ix)  </w:t>
      </w:r>
      <w:r>
        <w:rPr>
          <w:i/>
        </w:rPr>
        <w:t>Termination Payments.</w:t>
      </w:r>
      <w:r>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BodyText1J"/>
        <w:rPr/>
      </w:pPr>
      <w:r>
        <w:rPr/>
        <w:t>(ii)</w:t>
        <w:tab/>
        <w:t>Section 3 of this Agreement is hereby amended by adding the following subsection”(e)” thereto, which subsection shall only apply to the Government Entity:</w:t>
      </w:r>
    </w:p>
    <w:p>
      <w:pPr>
        <w:pStyle w:val="BodyText5J"/>
        <w:rPr/>
      </w:pPr>
      <w:r>
        <w:rPr>
          <w:b/>
        </w:rPr>
        <w:t>“</w:t>
      </w:r>
      <w:r>
        <w:rPr>
          <w:b/>
        </w:rPr>
        <w:t>(e)</w:t>
      </w:r>
      <w:r>
        <w:rPr/>
        <w:t xml:space="preserve"> </w:t>
      </w:r>
      <w:r>
        <w:rPr>
          <w:b/>
          <w:i/>
        </w:rPr>
        <w:t>Non-Speculation.</w:t>
      </w:r>
      <w:r>
        <w:rPr/>
        <w:t xml:space="preserve">  This Agreement has been, and each Transaction hereunder will be (and, if applicable, has been), entered into for purposes of managing its borrowings or investments and not for purposes of speculation.”</w:t>
      </w:r>
    </w:p>
    <w:p>
      <w:pPr>
        <w:pStyle w:val="BodyText1J"/>
        <w:rPr/>
      </w:pPr>
      <w:r>
        <w:rPr/>
        <w:t>(iii)</w:t>
        <w:tab/>
        <w:t>Section 3 of this Agreement is hereby amended by adding the following subsection “(f)” thereto:</w:t>
      </w:r>
    </w:p>
    <w:p>
      <w:pPr>
        <w:pStyle w:val="BodyText5J"/>
        <w:rPr/>
      </w:pPr>
      <w:r>
        <w:rPr>
          <w:b/>
        </w:rPr>
        <w:t>“</w:t>
      </w:r>
      <w:r>
        <w:rPr>
          <w:b/>
        </w:rPr>
        <w:t>(f)</w:t>
      </w:r>
      <w:r>
        <w:rPr/>
        <w:t xml:space="preserve"> </w:t>
      </w:r>
      <w:r>
        <w:rPr>
          <w:b/>
          <w:i/>
        </w:rPr>
        <w:t>No Immunity.</w:t>
      </w:r>
      <w:r>
        <w:rPr/>
        <w:t xml:space="preserve">  It is not immune from suit for amounts due and payable pursuant to this Agreement because of its status as a political subdivision of the State of California.”</w:t>
      </w:r>
    </w:p>
    <w:p>
      <w:pPr>
        <w:pStyle w:val="BodyText1J"/>
        <w:rPr/>
      </w:pPr>
      <w:r>
        <w:rPr/>
        <w:t>(v)</w:t>
        <w:tab/>
        <w:t>Section 3 of this Agreement is hereby amended by adding the following subsection “(g)” thereto:</w:t>
      </w:r>
    </w:p>
    <w:p>
      <w:pPr>
        <w:pStyle w:val="BodyText5J"/>
        <w:rPr/>
      </w:pPr>
      <w:r>
        <w:rPr>
          <w:b/>
        </w:rPr>
        <w:t>“</w:t>
      </w:r>
      <w:r>
        <w:rPr>
          <w:b/>
        </w:rPr>
        <w:t>(g)</w:t>
      </w:r>
      <w:r>
        <w:rPr/>
        <w:t xml:space="preserve"> </w:t>
      </w:r>
      <w:r>
        <w:rPr>
          <w:b/>
          <w:i/>
        </w:rPr>
        <w:t>No Reliance.</w:t>
      </w:r>
      <w:r>
        <w:rPr/>
        <w:t xml:space="preserve">  In connection with the negotiation of, the entering into, and the confirming of the execution of, this Agreement, any credit Support Document to which it is a party, and each Transaction:  (i) it is acting as a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consulted with its own legal, regulatory, tax, business, investment, financial, and accounting advisors to the extent it has deemed necessary and it has made its own investment, hedging, trading or other decisions based upon its own judgment and upon any advice from such advisors as it has deemed necessary and not upon any view expressed by the other party; (v) has been the result of arm’s length negotiations between the parties; and (vi)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BodyTextJ"/>
        <w:rPr/>
      </w:pPr>
      <w:r>
        <w:rPr/>
        <w:t>(c)</w:t>
      </w:r>
      <w:r>
        <w:rPr>
          <w:b/>
          <w:i/>
        </w:rPr>
        <w:tab/>
        <w:t>Agreements.</w:t>
      </w:r>
    </w:p>
    <w:p>
      <w:pPr>
        <w:pStyle w:val="BodyText1J"/>
        <w:rPr/>
      </w:pPr>
      <w:r>
        <w:rPr/>
        <w:t>(i)</w:t>
        <w:tab/>
        <w:t>Section 4 of this Agreement is hereby amended by adding the following subsection “(f)” thereto:</w:t>
      </w:r>
    </w:p>
    <w:p>
      <w:pPr>
        <w:pStyle w:val="BodyText5J"/>
        <w:rPr/>
      </w:pPr>
      <w:r>
        <w:rPr/>
        <w:t>“</w:t>
      </w:r>
      <w:r>
        <w:rPr/>
        <w:t xml:space="preserve">(f) </w:t>
      </w:r>
      <w:r>
        <w:rPr>
          <w:b/>
          <w:i/>
        </w:rPr>
        <w:t>Source of Payments.</w:t>
      </w:r>
      <w:r>
        <w:rPr/>
        <w:t xml:space="preserve"> The obligations of Party B to make payments to Party A under this Agreement are subordinate to Party B’s obligations on its Parity Bonds (as defined in Resolution No. 6649 of Party B), Subordinated Electric Revenue Bonds (as defined in Resolution No. 85-11-1), commercial paper (as defined in Resolution No. 95-09-02 of Party B) and reimbursement obligations of Party B related thereto, whether such Parity Bonds, Subordinated Electric Revenue Bonds, commercial paper or reimbursement obligations are presently outstanding or incurred after the date hereof (collectively, the “Senior Obligations”), and thus are payable solely from Net Revenues (as defined in Resolution No. 6649 of Party B) after the payment of amounts then due on the Senior Obligations.”</w:t>
      </w:r>
    </w:p>
    <w:p>
      <w:pPr>
        <w:pStyle w:val="BodyTextJ"/>
        <w:rPr/>
      </w:pPr>
      <w:r>
        <w:rPr/>
        <w:t>(d)</w:t>
      </w:r>
      <w:r>
        <w:rPr>
          <w:b/>
          <w:i/>
        </w:rPr>
        <w:tab/>
        <w:t>Nature of Obligations</w:t>
      </w:r>
      <w:r>
        <w:rPr>
          <w:b/>
        </w:rPr>
        <w:t xml:space="preserve">.  </w:t>
      </w:r>
      <w:r>
        <w:rPr/>
        <w:t>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BodyTextJ"/>
        <w:rPr/>
      </w:pPr>
      <w:r>
        <w:rPr/>
        <w:tab/>
        <w:t>“(h)</w:t>
        <w:tab/>
      </w:r>
      <w:r>
        <w:rPr>
          <w:i/>
        </w:rPr>
        <w:t>Dealer Market Practices</w:t>
      </w:r>
      <w:r>
        <w:rPr/>
        <w:t>.  To the extent applicable, the obligations of the parties are to be construed in accordance with practices in the international financial or commodity, as applicable, dealer market.”</w:t>
      </w:r>
    </w:p>
    <w:p>
      <w:pPr>
        <w:pStyle w:val="BodyTextJ"/>
        <w:rPr/>
      </w:pPr>
      <w:r>
        <w:rPr/>
        <w:t>(e)</w:t>
      </w:r>
      <w:r>
        <w:rPr>
          <w:b/>
          <w:i/>
        </w:rPr>
        <w:tab/>
        <w:t>Jurisdiction/Waiver of Immunities:</w:t>
      </w:r>
      <w:r>
        <w:rPr/>
        <w:t xml:space="preserve"> Section 13(b) and Section 13(d) of this Agreement are hereby deleted in their entirety.</w:t>
      </w:r>
    </w:p>
    <w:p>
      <w:pPr>
        <w:pStyle w:val="BodyTextJ"/>
        <w:rPr/>
      </w:pPr>
      <w:r>
        <w:rPr/>
        <w:t>(f)</w:t>
        <w:tab/>
      </w:r>
      <w:r>
        <w:rPr>
          <w:b/>
          <w:i/>
        </w:rPr>
        <w:t>Reference Market-makers</w:t>
      </w:r>
      <w:r>
        <w:rPr/>
        <w:t>.  The definition of “Reference market-makers” in Section 12 is hereby amended by deleting clause (b) thereof.</w:t>
      </w:r>
    </w:p>
    <w:p>
      <w:pPr>
        <w:pStyle w:val="BodyTextJ"/>
        <w:rPr/>
      </w:pPr>
      <w:r>
        <w:rPr/>
        <w:t>(g)</w:t>
        <w:tab/>
      </w:r>
      <w:r>
        <w:rPr>
          <w:b/>
          <w:i/>
        </w:rPr>
        <w:t>Procedures for Entering into Transaction</w:t>
      </w:r>
      <w:r>
        <w:rPr/>
        <w:t>.  The parties hereby amend Section 8(e)(ii)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BodyTextJ"/>
        <w:rPr/>
      </w:pPr>
      <w:r>
        <w:rPr/>
        <w:t>(h)</w:t>
        <w:tab/>
      </w:r>
      <w:r>
        <w:rPr>
          <w:b/>
          <w:i/>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BodyTextJ"/>
        <w:rPr/>
      </w:pPr>
      <w:r>
        <w:rPr/>
        <w:t>(i)</w:t>
        <w:tab/>
      </w:r>
      <w:r>
        <w:rPr>
          <w:b/>
          <w:i/>
        </w:rPr>
        <w:t>LIMITATION OF LIABILITY</w:t>
      </w:r>
      <w:r>
        <w:rPr/>
        <w:t xml:space="preserve">.  </w:t>
      </w:r>
      <w:r>
        <w:rPr>
          <w:b/>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BodyTextJ"/>
        <w:rPr/>
      </w:pPr>
      <w:r>
        <w:rPr/>
        <w:t>(j)</w:t>
        <w:tab/>
      </w:r>
      <w:r>
        <w:rPr>
          <w:b/>
          <w:i/>
        </w:rPr>
        <w:t>Transfer.</w:t>
      </w:r>
      <w:r>
        <w:rPr/>
        <w:t xml:space="preserve">  Section 7 is hereby amended by adding the following Subsection (c):</w:t>
      </w:r>
    </w:p>
    <w:p>
      <w:pPr>
        <w:pStyle w:val="BodyTextJ"/>
        <w:rPr/>
      </w:pPr>
      <w:r>
        <w:rPr/>
        <w:tab/>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BodyTextJ"/>
        <w:rPr/>
      </w:pPr>
      <w:r>
        <w:rPr/>
        <w:t>(k)</w:t>
        <w:tab/>
      </w:r>
      <w:r>
        <w:rPr>
          <w:b/>
          <w:i/>
        </w:rPr>
        <w:t>Applicable Rate.</w:t>
      </w:r>
      <w:r>
        <w:rPr/>
        <w:t xml:space="preserve">  The definition of </w:t>
      </w:r>
      <w:r>
        <w:rPr>
          <w:b/>
        </w:rPr>
        <w:t xml:space="preserve">“Applicable Rate” </w:t>
      </w:r>
      <w:r>
        <w:rPr/>
        <w:t xml:space="preserve">set forth in Section 12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BodyTextJ"/>
        <w:rPr/>
      </w:pPr>
      <w:r>
        <w:rPr/>
        <w:t>(l)</w:t>
        <w:tab/>
      </w:r>
      <w:r>
        <w:rPr>
          <w:b/>
          <w:i/>
        </w:rPr>
        <w:t>Severability.</w:t>
      </w:r>
      <w:r>
        <w:rPr/>
        <w:t xml:space="preserve">  If any term, provisions,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mater of this Agreement and the deletion of such portion of this Agreement will not substantially impair the respective benefits or expectations of the parties to this Agreement; </w:t>
      </w:r>
      <w:r>
        <w:rPr>
          <w:u w:val="single"/>
        </w:rPr>
        <w:t>provided</w:t>
      </w:r>
      <w:r>
        <w:rPr/>
        <w:t xml:space="preserve">, </w:t>
      </w:r>
      <w:r>
        <w:rPr>
          <w:u w:val="single"/>
        </w:rPr>
        <w:t>however</w:t>
      </w:r>
      <w:r>
        <w:rPr/>
        <w:t>, that this severability provision shall not be applicable if any provisions of Section 1, 2, 5 or 6 (or any definition or provision in Section 12 to the extent it relates to, or is used in connection with any such Section) shall be so held to be invalid or unenforceable.</w:t>
      </w:r>
    </w:p>
    <w:p>
      <w:pPr>
        <w:pStyle w:val="BodyTextJ"/>
        <w:rPr/>
      </w:pPr>
      <w:r>
        <w:rPr/>
        <w:t>(m)</w:t>
        <w:tab/>
        <w:t xml:space="preserve">(1)  </w:t>
      </w:r>
      <w:r>
        <w:rPr>
          <w:i/>
        </w:rPr>
        <w:t>Market Disruption Events; Disruption Fallbacks</w:t>
      </w:r>
      <w:r>
        <w:rPr/>
        <w:t>.  Each of the following events shall constitute a Market Disruption Event hereunder:</w:t>
      </w:r>
    </w:p>
    <w:p>
      <w:pPr>
        <w:pStyle w:val="BodyText5J"/>
        <w:numPr>
          <w:ilvl w:val="0"/>
          <w:numId w:val="3"/>
        </w:numPr>
        <w:tabs>
          <w:tab w:val="clear" w:pos="720"/>
        </w:tabs>
        <w:ind w:firstLine="1440" w:start="0" w:end="0"/>
        <w:rPr/>
      </w:pPr>
      <w:r>
        <w:rPr/>
        <w:t>Price Source Disruption</w:t>
      </w:r>
    </w:p>
    <w:p>
      <w:pPr>
        <w:pStyle w:val="BodyText5J"/>
        <w:numPr>
          <w:ilvl w:val="0"/>
          <w:numId w:val="3"/>
        </w:numPr>
        <w:tabs>
          <w:tab w:val="clear" w:pos="720"/>
        </w:tabs>
        <w:ind w:firstLine="1440" w:start="0" w:end="0"/>
        <w:rPr/>
      </w:pPr>
      <w:r>
        <w:rPr/>
        <w:t>Trading Suspension</w:t>
      </w:r>
    </w:p>
    <w:p>
      <w:pPr>
        <w:pStyle w:val="BodyText5J"/>
        <w:numPr>
          <w:ilvl w:val="0"/>
          <w:numId w:val="3"/>
        </w:numPr>
        <w:tabs>
          <w:tab w:val="clear" w:pos="720"/>
        </w:tabs>
        <w:ind w:firstLine="1440" w:start="0" w:end="0"/>
        <w:rPr/>
      </w:pPr>
      <w:r>
        <w:rPr/>
        <w:t>Disappearance of Commodity Reference Price</w:t>
      </w:r>
    </w:p>
    <w:p>
      <w:pPr>
        <w:pStyle w:val="BodyText5J"/>
        <w:numPr>
          <w:ilvl w:val="0"/>
          <w:numId w:val="3"/>
        </w:numPr>
        <w:tabs>
          <w:tab w:val="clear" w:pos="720"/>
        </w:tabs>
        <w:ind w:firstLine="1440" w:start="0" w:end="0"/>
        <w:rPr/>
      </w:pPr>
      <w:r>
        <w:rPr/>
        <w:t>Material Change in Formula</w:t>
      </w:r>
    </w:p>
    <w:p>
      <w:pPr>
        <w:pStyle w:val="BodyText5J"/>
        <w:numPr>
          <w:ilvl w:val="0"/>
          <w:numId w:val="3"/>
        </w:numPr>
        <w:tabs>
          <w:tab w:val="clear" w:pos="720"/>
        </w:tabs>
        <w:ind w:firstLine="1440" w:start="0" w:end="0"/>
        <w:rPr/>
      </w:pPr>
      <w:r>
        <w:rPr/>
        <w:t>Material Change in Content</w:t>
      </w:r>
    </w:p>
    <w:p>
      <w:pPr>
        <w:pStyle w:val="BodyText5J"/>
        <w:numPr>
          <w:ilvl w:val="0"/>
          <w:numId w:val="3"/>
        </w:numPr>
        <w:tabs>
          <w:tab w:val="clear" w:pos="720"/>
        </w:tabs>
        <w:ind w:firstLine="1440" w:start="0" w:end="0"/>
        <w:rPr/>
      </w:pPr>
      <w:r>
        <w:rPr>
          <w:i/>
        </w:rPr>
        <w:t>De Minimis</w:t>
      </w:r>
      <w:r>
        <w:rPr/>
        <w:t xml:space="preserve"> Trading (if specified in the Confirmation as being applicable and if the Confirmation specifies a Minimum Futures Contract amount)</w:t>
      </w:r>
    </w:p>
    <w:p>
      <w:pPr>
        <w:pStyle w:val="BodyText5J"/>
        <w:numPr>
          <w:ilvl w:val="0"/>
          <w:numId w:val="3"/>
        </w:numPr>
        <w:tabs>
          <w:tab w:val="clear" w:pos="720"/>
        </w:tabs>
        <w:ind w:firstLine="1440" w:start="0" w:end="0"/>
        <w:rPr/>
      </w:pPr>
      <w:r>
        <w:rPr/>
        <w:t>Trading Limitation (if provided in the Confirmation as being applicable).</w:t>
      </w:r>
    </w:p>
    <w:p>
      <w:pPr>
        <w:pStyle w:val="BodyText5J"/>
        <w:rPr/>
      </w:pPr>
      <w:r>
        <w:rPr/>
        <w:t>In addition, a “Limit Move,” as defined herein, shall also constitute a Market Disruption Event when a Commodity Reference Price is based on a NYMEX futures contract.  A Limit Move shall have occurred if (x) pursuant to any act of, or rules or regulations of NYMEX or any governmental authority having jurisdiction over NYMEX, there is, on any Pricing Date, a limit to the amount by which the settlement price of the NYMEX futures contract may increase or decrease from the preceding Commodity Business Day’s settlement price (the “Limit Amount”) and (y) the settlement price of such NYMEX futures contract on such Pricing Date increases or decreases by the Limit Amount.</w:t>
      </w:r>
    </w:p>
    <w:p>
      <w:pPr>
        <w:pStyle w:val="BodyText5J"/>
        <w:rPr/>
      </w:pPr>
      <w:r>
        <w:rPr/>
        <w:t>(2)</w:t>
        <w:tab/>
        <w:t>The following “Disruption Fallbacks” specified in Section 7.5(c) of the Commodity Definitions shall apply, in the following order, except as otherwise specified in the relevant Confirmation:</w:t>
      </w:r>
    </w:p>
    <w:p>
      <w:pPr>
        <w:pStyle w:val="BodyText5J"/>
        <w:ind w:start="720" w:end="0"/>
        <w:rPr/>
      </w:pPr>
      <w:r>
        <w:rPr/>
        <w:t>(i)</w:t>
        <w:tab/>
        <w:t>“Postponement”, with three (3) Commodity Business Days as the Maximum Days of Disruption;</w:t>
      </w:r>
    </w:p>
    <w:p>
      <w:pPr>
        <w:pStyle w:val="BodyText5J"/>
        <w:ind w:start="720" w:end="0"/>
        <w:rPr/>
      </w:pPr>
      <w:r>
        <w:rPr/>
        <w:t>(ii)</w:t>
        <w:tab/>
        <w:t>“Fallback Reference Price” (if the relevant parties have specified an alternate Commodity Reference Price in the Confirmation);</w:t>
      </w:r>
    </w:p>
    <w:p>
      <w:pPr>
        <w:pStyle w:val="BodyText5J"/>
        <w:ind w:start="720" w:end="0"/>
        <w:rPr/>
      </w:pPr>
      <w:r>
        <w:rPr/>
        <w:t>(iii)</w:t>
        <w:tab/>
        <w:t>“Negotiated Fallback” (provided that the reference in Section 7.5(c)(ii) to “fifth Business Day” shall be amended to be “twelfth Business Day”); and</w:t>
      </w:r>
    </w:p>
    <w:p>
      <w:pPr>
        <w:pStyle w:val="BodyText5J"/>
        <w:ind w:start="720" w:end="0"/>
        <w:rPr/>
      </w:pPr>
      <w:r>
        <w:rPr/>
        <w:t>(iv)</w:t>
        <w:tab/>
        <w:t>The Relevant Price will be determined and calculated as set forth in the definition of “Commodity-Reference Dealers”, however, notwithstanding any reference to the number of Specified Prices in such definition, Party A shall obtain in good faith quotations from three (3) leading dealers in the relevant market and the price for that Pricing Date will be the arithmetic mean of the Specified Prices.</w:t>
      </w:r>
    </w:p>
    <w:p>
      <w:pPr>
        <w:pStyle w:val="BodyTextJ"/>
        <w:rPr/>
      </w:pPr>
      <w:r>
        <w:rPr/>
        <w:t>(n)</w:t>
      </w:r>
      <w:r>
        <w:rPr>
          <w:b/>
          <w:i/>
        </w:rPr>
        <w:tab/>
        <w:t>Definitions.</w:t>
      </w:r>
      <w:r>
        <w:rPr/>
        <w:t xml:space="preserve">  (1) This Agreement, each Confirmation, and each Transaction are subject to the 1991 ISDA Definitions, as such definitions may be amended, supplemented, replaced or modified form time to time (collectively, the </w:t>
      </w:r>
      <w:r>
        <w:rPr>
          <w:b/>
        </w:rPr>
        <w:t>“Definitions”</w:t>
      </w:r>
      <w:r>
        <w:rPr/>
        <w:t>),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J"/>
        <w:rPr/>
      </w:pPr>
      <w:r>
        <w:rPr/>
        <w:tab/>
        <w:t>(2)</w:t>
        <w:tab/>
        <w:t>Section 12 of this Agreement is hereby amended to add the following definitions in their appropriate alphabetical order:</w:t>
      </w:r>
    </w:p>
    <w:p>
      <w:pPr>
        <w:pStyle w:val="BodyText5J"/>
        <w:rPr/>
      </w:pPr>
      <w:r>
        <w:rPr>
          <w:b/>
        </w:rPr>
        <w:t>“’</w:t>
      </w:r>
      <w:r>
        <w:rPr>
          <w:b/>
        </w:rPr>
        <w:t xml:space="preserve">Government Entity’ </w:t>
      </w:r>
      <w:r>
        <w:rPr/>
        <w:t>has the meaning specified in the Schedule.”</w:t>
      </w:r>
    </w:p>
    <w:p>
      <w:pPr>
        <w:pStyle w:val="BodyTextJ"/>
        <w:jc w:val="center"/>
        <w:rPr/>
      </w:pPr>
      <w:r>
        <w:rPr/>
        <w:t>[Remainder of Page Intentionally Left Blank]</w:t>
      </w:r>
      <w:r>
        <w:br w:type="page"/>
      </w:r>
    </w:p>
    <w:p>
      <w:pPr>
        <w:pStyle w:val="BodyTextJ"/>
        <w:rPr/>
      </w:pPr>
      <w:r>
        <w:rPr/>
        <w:t>The parties executing this Schedule have executed the Master Agreement and have agreed as to the contents of this Schedule.</w:t>
      </w:r>
    </w:p>
    <w:p>
      <w:pPr>
        <w:pStyle w:val="BodyText5J"/>
        <w:ind w:start="3600" w:end="0"/>
        <w:rPr/>
      </w:pPr>
      <w:r>
        <w:rPr/>
        <w:t>ENRON NORTH AMERICA CORP.</w:t>
      </w:r>
    </w:p>
    <w:p>
      <w:pPr>
        <w:pStyle w:val="Signature"/>
        <w:rPr/>
      </w:pPr>
      <w:r>
        <w:rPr/>
        <w:t>By:</w:t>
        <w:tab/>
      </w:r>
      <w:r>
        <w:rPr>
          <w:u w:val="single"/>
        </w:rPr>
        <w:tab/>
      </w:r>
    </w:p>
    <w:p>
      <w:pPr>
        <w:pStyle w:val="BodyText5J"/>
        <w:spacing w:before="0" w:after="0"/>
        <w:ind w:start="4147" w:end="0"/>
        <w:rPr/>
      </w:pPr>
      <w:r>
        <w:rPr/>
        <w:t>Name:</w:t>
      </w:r>
      <w:r>
        <w:rPr>
          <w:u w:val="single"/>
        </w:rPr>
        <w:t xml:space="preserve"> </w:t>
      </w:r>
    </w:p>
    <w:p>
      <w:pPr>
        <w:pStyle w:val="BodyText5J"/>
        <w:spacing w:before="0" w:after="0"/>
        <w:ind w:start="4147" w:end="0"/>
        <w:rPr/>
      </w:pPr>
      <w:r>
        <w:rPr/>
        <w:t>Title:</w:t>
      </w:r>
    </w:p>
    <w:p>
      <w:pPr>
        <w:pStyle w:val="BodyText5J"/>
        <w:spacing w:before="0" w:after="0"/>
        <w:ind w:start="4147" w:end="0"/>
        <w:rPr/>
      </w:pPr>
      <w:r>
        <w:rPr/>
        <w:t>Date:</w:t>
      </w:r>
      <w:r>
        <w:rPr>
          <w:u w:val="single"/>
        </w:rPr>
        <w:t xml:space="preserve"> </w:t>
      </w:r>
    </w:p>
    <w:p>
      <w:pPr>
        <w:pStyle w:val="BodyText5J"/>
        <w:rPr>
          <w:u w:val="single"/>
        </w:rPr>
      </w:pPr>
      <w:r>
        <w:rPr>
          <w:u w:val="single"/>
        </w:rPr>
      </w:r>
    </w:p>
    <w:p>
      <w:pPr>
        <w:pStyle w:val="BodyText5J"/>
        <w:rPr>
          <w:u w:val="single"/>
        </w:rPr>
      </w:pPr>
      <w:r>
        <w:rPr>
          <w:u w:val="single"/>
        </w:rPr>
      </w:r>
    </w:p>
    <w:p>
      <w:pPr>
        <w:pStyle w:val="BodyText5J"/>
        <w:ind w:hanging="0" w:start="4320" w:end="0"/>
        <w:jc w:val="start"/>
        <w:rPr/>
      </w:pPr>
      <w:r>
        <w:rPr/>
        <w:t>SACRAMENTO MUNICIPAL UTILITY DISTRICT</w:t>
      </w:r>
    </w:p>
    <w:p>
      <w:pPr>
        <w:pStyle w:val="Signature"/>
        <w:rPr/>
      </w:pPr>
      <w:r>
        <w:rPr/>
        <w:t>By:</w:t>
        <w:tab/>
      </w:r>
      <w:r>
        <w:rPr>
          <w:u w:val="single"/>
        </w:rPr>
        <w:tab/>
      </w:r>
    </w:p>
    <w:p>
      <w:pPr>
        <w:pStyle w:val="BodyText5J"/>
        <w:spacing w:before="0" w:after="0"/>
        <w:ind w:start="4147" w:end="0"/>
        <w:rPr/>
      </w:pPr>
      <w:r>
        <w:rPr/>
        <w:t>Name:</w:t>
      </w:r>
      <w:r>
        <w:rPr>
          <w:u w:val="single"/>
        </w:rPr>
        <w:t xml:space="preserve"> </w:t>
      </w:r>
    </w:p>
    <w:p>
      <w:pPr>
        <w:pStyle w:val="BodyText5J"/>
        <w:spacing w:before="0" w:after="0"/>
        <w:ind w:start="4147" w:end="0"/>
        <w:rPr/>
      </w:pPr>
      <w:r>
        <w:rPr/>
        <w:t>Title:</w:t>
      </w:r>
    </w:p>
    <w:p>
      <w:pPr>
        <w:pStyle w:val="BodyText5J"/>
        <w:spacing w:before="0" w:after="240"/>
        <w:ind w:start="4147" w:end="0"/>
        <w:rPr/>
      </w:pPr>
      <w:r>
        <w:rPr/>
        <w:t>Date:</w:t>
      </w:r>
      <w:r>
        <w:rPr>
          <w:u w:val="single"/>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DOCSNY1:601256.6</w:t>
    </w:r>
    <w:r>
      <w:rPr/>
      <w:t xml:space="preserve"> </w:t>
    </w:r>
  </w:p>
  <w:p>
    <w:pPr>
      <w:pStyle w:val="Footer"/>
      <w:spacing w:lineRule="exact" w:line="200"/>
      <w:rPr/>
    </w:pPr>
    <w:r>
      <w:rPr>
        <w:rStyle w:val="zzmpTrailerItem"/>
      </w:rPr>
      <w:t>3609-1 GB6</w:t>
    </w:r>
    <w:r>
      <w:rPr/>
      <w:t xml:space="preserve"> </w:t>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DOCSNY1:601256.6</w:t>
    </w:r>
    <w:r>
      <w:rPr/>
      <w:t xml:space="preserve"> </w:t>
    </w:r>
  </w:p>
  <w:p>
    <w:pPr>
      <w:pStyle w:val="Footer"/>
      <w:spacing w:lineRule="exact" w:line="200"/>
      <w:rPr/>
    </w:pPr>
    <w:r>
      <w:rPr>
        <w:rStyle w:val="zzmpTrailerItem"/>
      </w:rPr>
      <w:t>3609-1 GB6</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360"/>
        </w:tabs>
        <w:ind w:start="360" w:hanging="360"/>
      </w:pPr>
    </w:lvl>
  </w:abstractNum>
  <w:abstractNum w:abstractNumId="3">
    <w:lvl w:ilvl="0">
      <w:start w:val="1"/>
      <w:numFmt w:val="lowerRoman"/>
      <w:lvlText w:val="(%1)"/>
      <w:lvlJc w:val="start"/>
      <w:pPr>
        <w:tabs>
          <w:tab w:val="num" w:pos="720"/>
        </w:tabs>
        <w:ind w:start="360" w:hanging="360"/>
      </w:p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iTrailerType" w:val="0"/>
    <w:docVar w:name="OMPTrailerStyle" w:val="001100"/>
    <w:docVar w:name="zzmpFixedDOC_ID" w:val="DOCSNY1:601256.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smallCaps/>
      <w:color w:val="800000"/>
      <w:sz w:val="16"/>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Signature">
    <w:name w:val="Letter Signature"/>
    <w:basedOn w:val="Normal"/>
    <w:qFormat/>
    <w:pPr>
      <w:keepNext w:val="true"/>
      <w:keepLines/>
      <w:ind w:hanging="0" w:start="4320" w:end="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4680" w:leader="none"/>
        <w:tab w:val="right" w:pos="9360" w:leader="none"/>
      </w:tabs>
      <w:spacing w:lineRule="exact" w:line="240"/>
      <w:ind w:hanging="0" w:start="4320" w:end="0"/>
    </w:pPr>
    <w:rPr/>
  </w:style>
  <w:style w:type="paragraph" w:styleId="Quote">
    <w:name w:val="Quote"/>
    <w:basedOn w:val="Normal"/>
    <w:next w:val="BodyTextContinued"/>
    <w:qFormat/>
    <w:pPr>
      <w:widowControl w:val="false"/>
      <w:spacing w:before="0" w:after="240"/>
      <w:ind w:hanging="0" w:start="1440" w:end="1440"/>
    </w:pPr>
    <w:rPr/>
  </w:style>
  <w:style w:type="paragraph" w:styleId="SDP">
    <w:name w:val="SDP"/>
    <w:basedOn w:val="Normal"/>
    <w:next w:val="Normal"/>
    <w:qFormat/>
    <w:pPr>
      <w:spacing w:before="240" w:after="0"/>
    </w:pPr>
    <w:rPr>
      <w:b/>
      <w:smallCaps/>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Heading1Para">
    <w:name w:val="Heading1Para"/>
    <w:basedOn w:val="BodyText"/>
    <w:next w:val="BodyText"/>
    <w:qFormat/>
    <w:pPr>
      <w:widowControl/>
      <w:ind w:hanging="0" w:start="0" w:end="0"/>
      <w:jc w:val="center"/>
    </w:pPr>
    <w:rPr/>
  </w:style>
  <w:style w:type="paragraph" w:styleId="Heading2Para">
    <w:name w:val="Heading2Para"/>
    <w:basedOn w:val="BodyText"/>
    <w:next w:val="BodyText"/>
    <w:qFormat/>
    <w:pPr>
      <w:widowControl/>
      <w:ind w:hanging="0" w:start="0" w:end="0"/>
    </w:pPr>
    <w:rPr/>
  </w:style>
  <w:style w:type="paragraph" w:styleId="Heading3Para">
    <w:name w:val="Heading3Para"/>
    <w:basedOn w:val="BodyText"/>
    <w:next w:val="BodyText"/>
    <w:qFormat/>
    <w:pPr>
      <w:widowControl/>
    </w:pPr>
    <w:rPr/>
  </w:style>
  <w:style w:type="paragraph" w:styleId="Heading4Para">
    <w:name w:val="Heading4Para"/>
    <w:basedOn w:val="BodyText"/>
    <w:next w:val="BodyText"/>
    <w:qFormat/>
    <w:pPr>
      <w:widowControl/>
      <w:ind w:firstLine="2160" w:start="0" w:end="0"/>
    </w:pPr>
    <w:rPr/>
  </w:style>
  <w:style w:type="paragraph" w:styleId="Heading5Para">
    <w:name w:val="Heading5Para"/>
    <w:basedOn w:val="BodyText"/>
    <w:next w:val="BodyText"/>
    <w:qFormat/>
    <w:pPr>
      <w:widowControl/>
      <w:ind w:firstLine="2880" w:start="0" w:end="0"/>
    </w:pPr>
    <w:rPr/>
  </w:style>
  <w:style w:type="paragraph" w:styleId="Heading6Para">
    <w:name w:val="Heading6Para"/>
    <w:basedOn w:val="BodyText"/>
    <w:next w:val="BodyText"/>
    <w:qFormat/>
    <w:pPr>
      <w:widowControl/>
      <w:ind w:firstLine="3600" w:start="0" w:end="0"/>
    </w:pPr>
    <w:rPr/>
  </w:style>
  <w:style w:type="paragraph" w:styleId="Heading7Para">
    <w:name w:val="Heading7Para"/>
    <w:basedOn w:val="BodyText"/>
    <w:next w:val="BodyText"/>
    <w:qFormat/>
    <w:pPr>
      <w:widowControl/>
      <w:ind w:firstLine="4320" w:start="0" w:end="0"/>
    </w:pPr>
    <w:rPr/>
  </w:style>
  <w:style w:type="paragraph" w:styleId="Heading8Para">
    <w:name w:val="Heading8Para"/>
    <w:basedOn w:val="BodyText"/>
    <w:next w:val="BodyText"/>
    <w:qFormat/>
    <w:pPr>
      <w:widowControl/>
      <w:ind w:firstLine="5040" w:start="0" w:end="0"/>
    </w:pPr>
    <w:rPr/>
  </w:style>
  <w:style w:type="paragraph" w:styleId="Heading9Para">
    <w:name w:val="Heading9Para"/>
    <w:basedOn w:val="BodyText"/>
    <w:next w:val="BodyText"/>
    <w:qFormat/>
    <w:pPr>
      <w:widowControl/>
      <w:ind w:firstLine="5760" w:start="0" w:end="0"/>
    </w:pPr>
    <w:rPr/>
  </w:style>
  <w:style w:type="paragraph" w:styleId="QuoteDoubleSpace">
    <w:name w:val="Quote Double Space"/>
    <w:basedOn w:val="Normal"/>
    <w:next w:val="BodyTextContinued"/>
    <w:qFormat/>
    <w:pPr>
      <w:widowControl w:val="false"/>
      <w:spacing w:lineRule="auto" w:line="480"/>
      <w:ind w:hanging="0" w:start="1440" w:end="1440"/>
    </w:pPr>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rPr>
  </w:style>
  <w:style w:type="paragraph" w:styleId="TableText">
    <w:name w:val="!Table Text"/>
    <w:basedOn w:val="Normal"/>
    <w:qFormat/>
    <w:pPr>
      <w:spacing w:before="120" w:after="0"/>
    </w:pPr>
    <w:rPr/>
  </w:style>
  <w:style w:type="paragraph" w:styleId="TableEnd">
    <w:name w:val="!Table End"/>
    <w:basedOn w:val="TableText"/>
    <w:qFormat/>
    <w:pPr>
      <w:spacing w:before="120" w:after="360"/>
    </w:pPr>
    <w:rPr/>
  </w:style>
  <w:style w:type="paragraph" w:styleId="TableTitle">
    <w:name w:val="!Table Title"/>
    <w:basedOn w:val="TableText"/>
    <w:qFormat/>
    <w:pPr>
      <w:keepNext w:val="true"/>
      <w:pBdr>
        <w:bottom w:val="single" w:sz="8" w:space="1" w:color="000000"/>
      </w:pBdr>
      <w:jc w:val="center"/>
    </w:pPr>
    <w:rPr>
      <w:b/>
    </w:rPr>
  </w:style>
  <w:style w:type="paragraph" w:styleId="TitleBAllCaps">
    <w:name w:val="!Title(B)All Caps"/>
    <w:basedOn w:val="TitleB"/>
    <w:qFormat/>
    <w:pPr/>
    <w:rPr>
      <w:caps/>
    </w:rPr>
  </w:style>
  <w:style w:type="paragraph" w:styleId="IndentedQuote">
    <w:name w:val="!Indented Quote"/>
    <w:basedOn w:val="Normal"/>
    <w:qFormat/>
    <w:pPr>
      <w:spacing w:before="0" w:after="240"/>
      <w:ind w:hanging="0" w:start="1440" w:end="1440"/>
    </w:pPr>
    <w:rPr/>
  </w:style>
  <w:style w:type="paragraph" w:styleId="ReLine">
    <w:name w:val="!Re Line"/>
    <w:basedOn w:val="Normal"/>
    <w:qFormat/>
    <w:pPr>
      <w:spacing w:before="0" w:after="240"/>
      <w:ind w:hanging="720" w:start="2160" w:end="2160"/>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2000-08-08T12:48:00Z</dcterms:created>
  <dc:creator>Holly Beale</dc:creator>
  <dc:description/>
  <dc:language>en-CA</dc:language>
  <cp:lastModifiedBy>Edmond Seferi</cp:lastModifiedBy>
  <cp:lastPrinted>2000-08-07T19:24:00Z</cp:lastPrinted>
  <dcterms:modified xsi:type="dcterms:W3CDTF">2000-08-08T12:50:00Z</dcterms:modified>
  <cp:revision>5</cp:revision>
  <dc:subject/>
  <dc:title>Orrick Normal Template rev. 5/15/97, the Legal MacPac</dc:title>
</cp:coreProperties>
</file>