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sz w:val="24"/>
          <w:lang w:eastAsia="en-US"/>
        </w:rPr>
      </w:pPr>
      <w:r>
        <w:rPr>
          <w:sz w:val="24"/>
          <w:lang w:eastAsia="en-US"/>
        </w:rPr>
        <w:t xml:space="preserve">This redlined draft, generated by CompareRite (TM) - The Instant Redliner, shows the differences between - </w:t>
      </w:r>
    </w:p>
    <w:p>
      <w:pPr>
        <w:pStyle w:val="Normal"/>
        <w:widowControl w:val="false"/>
        <w:rPr>
          <w:sz w:val="24"/>
          <w:lang w:eastAsia="en-US"/>
        </w:rPr>
      </w:pPr>
      <w:r>
        <w:rPr>
          <w:sz w:val="24"/>
          <w:lang w:eastAsia="en-US"/>
        </w:rPr>
        <w:t>original document   : L:\SWAPDOCS\EQUITY DERIVATIVE\EQUITY OPTIONS\CUSTOMER AGREEMENTS SENT ISDA\ENRON CORP\CTPTY DRAFT SCHEDULE.DOC</w:t>
      </w:r>
    </w:p>
    <w:p>
      <w:pPr>
        <w:pStyle w:val="Normal"/>
        <w:widowControl w:val="false"/>
        <w:rPr>
          <w:sz w:val="24"/>
          <w:lang w:eastAsia="en-US"/>
        </w:rPr>
      </w:pPr>
      <w:r>
        <w:rPr>
          <w:sz w:val="24"/>
          <w:lang w:eastAsia="en-US"/>
        </w:rPr>
        <w:t>and revised document: \\CMINFO\ROOT\SHARED\SWAPDOCS\EQUITY DERIVATIVE\EQUITY OPTIONS\CUSTOMER AGREEMENTS SENT ISDA\ENRON CORP\SCHEDULE 7-20-01.DOC</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CompareRite found   20 change(s) in the text</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 xml:space="preserve">Deletions appear as Overstrike text </w:t>
      </w:r>
    </w:p>
    <w:p>
      <w:pPr>
        <w:pStyle w:val="Normal"/>
        <w:widowControl w:val="false"/>
        <w:rPr>
          <w:sz w:val="24"/>
          <w:lang w:eastAsia="en-US"/>
        </w:rPr>
      </w:pPr>
      <w:r>
        <w:rPr>
          <w:sz w:val="24"/>
          <w:lang w:eastAsia="en-US"/>
        </w:rPr>
        <w:t xml:space="preserve">Additions appear as Bold-Underline text </w:t>
      </w:r>
      <w:r>
        <w:br w:type="page"/>
      </w:r>
    </w:p>
    <w:p>
      <w:pPr>
        <w:pStyle w:val="Heading5"/>
        <w:widowControl/>
        <w:ind w:hanging="0" w:start="0"/>
        <w:rPr/>
      </w:pPr>
      <w:r>
        <w:rPr/>
        <w:t xml:space="preserve">DRAFT OF </w:t>
      </w:r>
      <w:r>
        <w:rPr>
          <w:strike/>
        </w:rPr>
        <w:t>04/20/2001</w:t>
      </w:r>
      <w:r>
        <w:rPr/>
        <w:t xml:space="preserve"> 07/20/2001</w:t>
      </w:r>
    </w:p>
    <w:p>
      <w:pPr>
        <w:pStyle w:val="Normal"/>
        <w:jc w:val="end"/>
        <w:rPr>
          <w:b/>
          <w:sz w:val="22"/>
        </w:rPr>
      </w:pPr>
      <w:r>
        <w:rPr>
          <w:b/>
          <w:sz w:val="22"/>
        </w:rPr>
      </w:r>
    </w:p>
    <w:p>
      <w:pPr>
        <w:pStyle w:val="BodyText3"/>
        <w:widowControl/>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2001</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CORP., a corporation organized under the law of the State of Oregon (“Party A”), and</w:t>
            </w:r>
          </w:p>
        </w:tc>
        <w:tc>
          <w:tcPr>
            <w:tcW w:w="4788" w:type="dxa"/>
            <w:tcBorders/>
          </w:tcPr>
          <w:p>
            <w:pPr>
              <w:pStyle w:val="Normal"/>
              <w:tabs>
                <w:tab w:val="clear" w:pos="720"/>
                <w:tab w:val="center" w:pos="5760" w:leader="none"/>
              </w:tabs>
              <w:spacing w:before="240" w:after="0"/>
              <w:rPr>
                <w:b/>
                <w:color w:val="808000"/>
                <w:sz w:val="22"/>
              </w:rPr>
            </w:pPr>
            <w:r>
              <w:rPr>
                <w:b/>
                <w:sz w:val="22"/>
              </w:rPr>
              <w:t>FIRST UNION NATIONAL BANK</w:t>
            </w:r>
            <w:r>
              <w:rPr>
                <w:b/>
                <w:sz w:val="22"/>
                <w:u w:val="single"/>
              </w:rPr>
              <w:t>,</w:t>
            </w:r>
            <w:r>
              <w:rPr>
                <w:b/>
                <w:sz w:val="22"/>
              </w:rPr>
              <w:t xml:space="preserve"> a national banking association organized under the law of the United States of America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  However, the words “, or becoming capable at such time of being declared,” as they appear in Section 5(a)(vi) are hereby deleted.</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and with respect to Party B, U.S. $100,000,000 (or its equivalent in another currency)</w:t>
      </w:r>
      <w:r>
        <w:rPr>
          <w:color w:val="000000"/>
          <w:sz w:val="22"/>
        </w:rPr>
        <w: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w:t>
      </w:r>
      <w:r>
        <w:rPr>
          <w:b/>
          <w:strike/>
          <w:sz w:val="22"/>
        </w:rPr>
        <w:t>not</w:t>
      </w:r>
      <w:r>
        <w:rPr>
          <w:b/>
          <w:sz w:val="22"/>
        </w:rPr>
        <w:t xml:space="preserve"> </w:t>
      </w:r>
      <w:r>
        <w:rPr>
          <w:sz w:val="22"/>
        </w:rPr>
        <w:t>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r>
      <w:r>
        <w:rPr>
          <w:b/>
          <w:sz w:val="22"/>
        </w:rPr>
        <w:tab/>
        <w:t>“Contractual Currency”</w:t>
      </w:r>
      <w:r>
        <w:rPr>
          <w:sz w:val="22"/>
        </w:rPr>
        <w:t xml:space="preserve"> unless otherwise specified in a Confirmation, shall mean United States Dollars.</w:t>
      </w:r>
    </w:p>
    <w:p>
      <w:pPr>
        <w:pStyle w:val="Normal"/>
        <w:spacing w:lineRule="exact" w:line="240" w:before="240" w:after="0"/>
        <w:ind w:firstLine="720" w:end="0"/>
        <w:jc w:val="both"/>
        <w:rPr/>
      </w:pPr>
      <w:r>
        <w:rPr>
          <w:sz w:val="22"/>
        </w:rPr>
        <w:t>(h)</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that the foregoing action or event shall not constitute a Termination Event so long as in connection with or after such action or event X or its successor or transferee provides (or causes to be provided) to the other party (“Y”) within two Local Business Days of Y’s written demand therefor collateral in an amount satisfactory to Y in its sole discretion.”</w:t>
      </w:r>
    </w:p>
    <w:p>
      <w:pPr>
        <w:pStyle w:val="Normal"/>
        <w:keepNext w:val="true"/>
        <w:spacing w:lineRule="exact" w:line="240" w:before="480" w:after="0"/>
        <w:jc w:val="both"/>
        <w:rPr>
          <w:sz w:val="22"/>
        </w:rPr>
      </w:pPr>
      <w:r>
        <w:rPr>
          <w:b/>
          <w:sz w:val="22"/>
        </w:rPr>
        <w:t>Part 2.  Tax Representations.</w:t>
      </w:r>
    </w:p>
    <w:p>
      <w:pPr>
        <w:pStyle w:val="Normal"/>
        <w:keepNext w:val="true"/>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keepNext w:val="true"/>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Oregon.</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62"/>
        <w:jc w:val="both"/>
        <w:rPr>
          <w:sz w:val="22"/>
        </w:rPr>
      </w:pPr>
      <w:r>
        <w:rPr>
          <w:sz w:val="22"/>
        </w:rPr>
      </w:r>
    </w:p>
    <w:p>
      <w:pPr>
        <w:pStyle w:val="Normal"/>
        <w:spacing w:lineRule="exact" w:line="262"/>
        <w:ind w:start="900" w:end="0"/>
        <w:jc w:val="both"/>
        <w:rPr/>
      </w:pPr>
      <w:r>
        <w:rPr>
          <w:sz w:val="22"/>
        </w:rPr>
        <w:t xml:space="preserve">Party B is a national banking association organized under the laws of the United States of America </w:t>
      </w:r>
      <w:r>
        <w:rPr>
          <w:b/>
          <w:sz w:val="22"/>
          <w:u w:val="single"/>
        </w:rPr>
        <w:t>and is a United States resident for United States federal income tax purposes</w:t>
      </w:r>
      <w:r>
        <w:rPr>
          <w:sz w:val="22"/>
        </w:rPr>
        <w:t>.</w:t>
      </w:r>
    </w:p>
    <w:p>
      <w:pPr>
        <w:pStyle w:val="Normal"/>
        <w:spacing w:lineRule="exact" w:line="240" w:before="240" w:after="0"/>
        <w:jc w:val="both"/>
        <w:rPr>
          <w:sz w:val="22"/>
        </w:rPr>
      </w:pPr>
      <w:r>
        <w:rPr>
          <w:sz w:val="22"/>
        </w:rPr>
      </w:r>
    </w:p>
    <w:p>
      <w:pPr>
        <w:pStyle w:val="Normal"/>
        <w:spacing w:lineRule="exact" w:line="240" w:before="24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rPr>
      </w:pPr>
      <w:r>
        <w:rPr>
          <w:sz w:val="22"/>
        </w:rPr>
        <w:t>(a)</w:t>
        <w:tab/>
        <w:t>Tax forms, documents, or certificates to be delivered are:  United States Internal Revenue Service Form W-9.</w:t>
      </w:r>
    </w:p>
    <w:p>
      <w:pPr>
        <w:pStyle w:val="Normal"/>
        <w:spacing w:lineRule="exact" w:line="240" w:before="240" w:after="0"/>
        <w:jc w:val="both"/>
        <w:rPr/>
      </w:pPr>
      <w:r>
        <w:rPr>
          <w:color w:val="FF0000"/>
          <w:sz w:val="22"/>
        </w:rPr>
        <w:t xml:space="preserve"> </w:t>
      </w: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spacing w:lineRule="atLeast" w:line="240" w:before="240" w:after="0"/>
              <w:rPr>
                <w:sz w:val="22"/>
                <w:u w:val="single"/>
              </w:rPr>
            </w:pPr>
            <w:r>
              <w:rPr>
                <w:b/>
                <w:sz w:val="22"/>
                <w:u w:val="single"/>
              </w:rPr>
              <w:t>Form/Document/Certificate</w:t>
            </w:r>
          </w:p>
        </w:tc>
        <w:tc>
          <w:tcPr>
            <w:tcW w:w="2228" w:type="dxa"/>
            <w:tcBorders/>
            <w:vAlign w:val="bottom"/>
          </w:tcPr>
          <w:p>
            <w:pPr>
              <w:pStyle w:val="Normal"/>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t>Duly executed tax forms, documents, or certificates referenced in Part 3(a) above</w:t>
            </w:r>
          </w:p>
        </w:tc>
        <w:tc>
          <w:tcPr>
            <w:tcW w:w="2228" w:type="dxa"/>
            <w:tcBorders/>
          </w:tcPr>
          <w:p>
            <w:pPr>
              <w:pStyle w:val="Normal"/>
              <w:spacing w:lineRule="atLeast" w:line="240" w:before="240" w:after="0"/>
              <w:jc w:val="both"/>
              <w:rPr>
                <w:sz w:val="22"/>
              </w:rPr>
            </w:pPr>
            <w:r>
              <w:rPr>
                <w:sz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Times New Roman" w:hAnsi="Times New Roman;Times New Roman" w:cs="Times New Roman;Times New Roman"/>
              </w:rPr>
            </w:pPr>
            <w:r>
              <w:rPr>
                <w:rFonts w:cs="Times New Roman;Times New Roman" w:ascii="Times New Roman;Times New Roman" w:hAnsi="Times New Roman;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Times New Roman" w:hAnsi="Times New Roman;Times New Roman" w:cs="Times New Roman;Times New Roman"/>
                <w:b/>
              </w:rPr>
            </w:pPr>
            <w:r>
              <w:rPr>
                <w:rFonts w:cs="Times New Roman;Times New Roman" w:ascii="Times New Roman;Times New Roman" w:hAnsi="Times New Roman;Times New Roman"/>
              </w:rPr>
              <w:t>Evidence of authority and specimen signatures with respect to the party’s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Annual Audited Consolidated Financial Statement of Party A certified by independent public accountants</w:t>
            </w:r>
          </w:p>
        </w:tc>
        <w:tc>
          <w:tcPr>
            <w:tcW w:w="2228" w:type="dxa"/>
            <w:tcBorders/>
          </w:tcPr>
          <w:p>
            <w:pPr>
              <w:pStyle w:val="Justified"/>
              <w:widowControl/>
              <w:spacing w:lineRule="atLeast" w:line="240" w:before="240" w:after="0"/>
              <w:jc w:val="start"/>
              <w:rPr>
                <w:rFonts w:ascii="Times New Roman;Times New Roman" w:hAnsi="Times New Roman;Times New Roman" w:cs="Times New Roman;Times New Roman"/>
                <w:b/>
              </w:rPr>
            </w:pPr>
            <w:r>
              <w:rPr>
                <w:rFonts w:cs="Times New Roman;Times New Roman" w:ascii="Times New Roman;Times New Roman" w:hAnsi="Times New Roman;Times New Roman"/>
              </w:rPr>
              <w:t>Promptly following demand by Party B, but in no event later than 120 days after the end of each fiscal year of Party A if such Financial Statement is not available on “EDGAR” or Party A’s home page on the World Wide Web at www.enron.com</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w:t>
            </w:r>
          </w:p>
        </w:tc>
        <w:tc>
          <w:tcPr>
            <w:tcW w:w="2228" w:type="dxa"/>
            <w:tcBorders/>
          </w:tcPr>
          <w:p>
            <w:pPr>
              <w:pStyle w:val="Justified"/>
              <w:widowControl/>
              <w:spacing w:lineRule="atLeast" w:line="240" w:before="240" w:after="0"/>
              <w:jc w:val="start"/>
              <w:rPr/>
            </w:pPr>
            <w:r>
              <w:rPr>
                <w:rFonts w:cs="Times New Roman;Times New Roman" w:ascii="Times New Roman;Times New Roman" w:hAnsi="Times New Roman;Times New Roman"/>
              </w:rPr>
              <w:t>Promptly following demand by Party B, but in no event later than 60 days after the end of each of the first three fiscal quarters of each fiscal year of Party A if such Financial Statement is not available on “EDGAR” or Party A’s home page on the World Wide Web at www.enron.com</w:t>
            </w:r>
            <w:r>
              <w:rPr>
                <w:rFonts w:cs="Times New Roman;Times New Roman" w:ascii="Times New Roman;Times New Roman" w:hAnsi="Times New Roman;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pacing w:lineRule="atLeast" w:line="240" w:before="240" w:after="0"/>
              <w:rPr>
                <w:rFonts w:ascii="Times New Roman;Times New Roman" w:hAnsi="Times New Roman;Times New Roman" w:cs="Times New Roman;Times New Roman"/>
                <w:b/>
                <w:u w:val="single"/>
              </w:rPr>
            </w:pPr>
            <w:r>
              <w:rPr>
                <w:rFonts w:cs="Times New Roman;Times New Roman" w:ascii="Times New Roman;Times New Roman" w:hAnsi="Times New Roman;Times New Roman"/>
                <w:strike/>
              </w:rPr>
              <w:t>Party B Annual Audited Consolidated Financial Statement of Party B certified by independent public accountants Promptly following demand by Party A, but in no event later than 120 days after the end of each fiscal year of Party B Yes Party B Quarterly Unaudited Consolidated Financial Statement</w:t>
            </w:r>
            <w:r>
              <w:rPr>
                <w:rFonts w:cs="Times New Roman;Times New Roman" w:ascii="Times New Roman;Times New Roman" w:hAnsi="Times New Roman;Times New Roman"/>
              </w:rPr>
              <w:t xml:space="preserve"> </w:t>
            </w:r>
          </w:p>
        </w:tc>
        <w:tc>
          <w:tcPr>
            <w:tcW w:w="3886" w:type="dxa"/>
            <w:tcBorders/>
          </w:tcPr>
          <w:p>
            <w:pPr>
              <w:pStyle w:val="Normal"/>
              <w:snapToGrid w:val="false"/>
              <w:spacing w:lineRule="atLeast" w:line="240" w:before="240" w:after="0"/>
              <w:jc w:val="both"/>
              <w:rPr>
                <w:rFonts w:ascii="Times New Roman;Times New Roman" w:hAnsi="Times New Roman;Times New Roman" w:cs="Times New Roman;Times New Roman"/>
                <w:b/>
                <w:sz w:val="22"/>
                <w:u w:val="single"/>
              </w:rPr>
            </w:pPr>
            <w:r>
              <w:rPr>
                <w:rFonts w:cs="Times New Roman;Times New Roman"/>
                <w:b/>
                <w:sz w:val="22"/>
                <w:u w:val="single"/>
              </w:rPr>
            </w:r>
          </w:p>
        </w:tc>
        <w:tc>
          <w:tcPr>
            <w:tcW w:w="2228" w:type="dxa"/>
            <w:tcBorders/>
          </w:tcPr>
          <w:p>
            <w:pPr>
              <w:pStyle w:val="Justified"/>
              <w:widowControl/>
              <w:snapToGrid w:val="false"/>
              <w:spacing w:lineRule="atLeast" w:line="240" w:before="240" w:after="0"/>
              <w:jc w:val="start"/>
              <w:rPr>
                <w:rFonts w:ascii="Times New Roman;Times New Roman" w:hAnsi="Times New Roman;Times New Roman" w:cs="Times New Roman;Times New Roman"/>
                <w:b/>
                <w:sz w:val="22"/>
                <w:u w:val="single"/>
              </w:rPr>
            </w:pPr>
            <w:r>
              <w:rPr>
                <w:rFonts w:cs="Times New Roman;Times New Roman" w:ascii="Times New Roman;Times New Roman" w:hAnsi="Times New Roman;Times New Roman"/>
                <w:b/>
                <w:sz w:val="22"/>
                <w:u w:val="single"/>
              </w:rPr>
            </w:r>
          </w:p>
        </w:tc>
        <w:tc>
          <w:tcPr>
            <w:tcW w:w="1985" w:type="dxa"/>
            <w:tcBorders/>
          </w:tcPr>
          <w:p>
            <w:pPr>
              <w:pStyle w:val="Justified"/>
              <w:widowControl/>
              <w:snapToGrid w:val="false"/>
              <w:spacing w:lineRule="atLeast" w:line="240" w:before="240" w:after="0"/>
              <w:jc w:val="center"/>
              <w:rPr>
                <w:rFonts w:ascii="Times New Roman;Times New Roman" w:hAnsi="Times New Roman;Times New Roman" w:cs="Times New Roman;Times New Roman"/>
                <w:b/>
                <w:u w:val="single"/>
              </w:rPr>
            </w:pPr>
            <w:r>
              <w:rPr>
                <w:rFonts w:cs="Times New Roman;Times New Roman" w:ascii="Times New Roman;Times New Roman" w:hAnsi="Times New Roman;Times New Roman"/>
                <w:b/>
                <w:u w:val="single"/>
              </w:rPr>
            </w:r>
          </w:p>
        </w:tc>
      </w:tr>
      <w:tr>
        <w:trPr/>
        <w:tc>
          <w:tcPr>
            <w:tcW w:w="1837" w:type="dxa"/>
            <w:tcBorders/>
          </w:tcPr>
          <w:p>
            <w:pPr>
              <w:pStyle w:val="Normal"/>
              <w:spacing w:lineRule="atLeast" w:line="240" w:before="240" w:after="0"/>
              <w:jc w:val="both"/>
              <w:rPr>
                <w:b/>
                <w:sz w:val="22"/>
                <w:u w:val="single"/>
              </w:rPr>
            </w:pPr>
            <w:r>
              <w:rPr>
                <w:b/>
                <w:sz w:val="22"/>
                <w:u w:val="single"/>
              </w:rPr>
              <w:t>Party B</w:t>
            </w:r>
          </w:p>
        </w:tc>
        <w:tc>
          <w:tcPr>
            <w:tcW w:w="3886" w:type="dxa"/>
            <w:tcBorders/>
          </w:tcPr>
          <w:p>
            <w:pPr>
              <w:pStyle w:val="Normal"/>
              <w:spacing w:lineRule="atLeast" w:line="240" w:before="240" w:after="0"/>
              <w:jc w:val="both"/>
              <w:rPr/>
            </w:pPr>
            <w:r>
              <w:rPr>
                <w:b/>
                <w:sz w:val="22"/>
                <w:u w:val="single"/>
              </w:rPr>
              <w:t>Quarterly call reports</w:t>
            </w:r>
            <w:r>
              <w:rPr>
                <w:sz w:val="22"/>
              </w:rPr>
              <w:t xml:space="preserve"> of Party B</w:t>
            </w:r>
          </w:p>
        </w:tc>
        <w:tc>
          <w:tcPr>
            <w:tcW w:w="2228" w:type="dxa"/>
            <w:tcBorders/>
          </w:tcPr>
          <w:p>
            <w:pPr>
              <w:pStyle w:val="Normal"/>
              <w:spacing w:lineRule="atLeast" w:line="240" w:before="240" w:after="0"/>
              <w:rPr>
                <w:sz w:val="22"/>
              </w:rPr>
            </w:pPr>
            <w:r>
              <w:rPr>
                <w:sz w:val="22"/>
              </w:rPr>
              <w:t xml:space="preserve">Promptly following demand by Party A, but in no event later than 60 days after the end of each of the first three fiscal quarters of each fiscal year of Party B </w:t>
            </w:r>
            <w:r>
              <w:rPr>
                <w:b/>
                <w:sz w:val="22"/>
                <w:u w:val="single"/>
              </w:rPr>
              <w:t>if such call report is not available at www.fdic.gov</w:t>
            </w:r>
          </w:p>
        </w:tc>
        <w:tc>
          <w:tcPr>
            <w:tcW w:w="1985" w:type="dxa"/>
            <w:tcBorders/>
          </w:tcPr>
          <w:p>
            <w:pPr>
              <w:pStyle w:val="Normal"/>
              <w:spacing w:lineRule="atLeast" w:line="240" w:before="240" w:after="0"/>
              <w:jc w:val="center"/>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tbl>
      <w:tblPr>
        <w:tblW w:w="6228" w:type="dxa"/>
        <w:jc w:val="start"/>
        <w:tblInd w:w="0" w:type="dxa"/>
        <w:tblLayout w:type="fixed"/>
        <w:tblCellMar>
          <w:top w:w="0" w:type="dxa"/>
          <w:start w:w="108" w:type="dxa"/>
          <w:bottom w:w="0" w:type="dxa"/>
          <w:end w:w="108" w:type="dxa"/>
        </w:tblCellMar>
      </w:tblPr>
      <w:tblGrid>
        <w:gridCol w:w="2088"/>
        <w:gridCol w:w="414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Attn:  Enron Corp. Treasurer</w:t>
            </w:r>
          </w:p>
        </w:tc>
      </w:tr>
    </w:tbl>
    <w:p>
      <w:pPr>
        <w:pStyle w:val="Normal"/>
        <w:tabs>
          <w:tab w:val="clear" w:pos="720"/>
          <w:tab w:val="right" w:pos="9360" w:leader="dot"/>
        </w:tabs>
        <w:spacing w:lineRule="exact" w:line="240" w:before="240" w:after="0"/>
        <w:jc w:val="both"/>
        <w:rPr>
          <w:sz w:val="22"/>
        </w:rPr>
      </w:pPr>
      <w:r>
        <w:rPr>
          <w:sz w:val="22"/>
        </w:rPr>
        <w:t>A copy of any notice sent to Party A pursuant to Section 5 or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10358" w:type="dxa"/>
        <w:jc w:val="start"/>
        <w:tblInd w:w="0" w:type="dxa"/>
        <w:tblLayout w:type="fixed"/>
        <w:tblCellMar>
          <w:top w:w="0" w:type="dxa"/>
          <w:start w:w="108" w:type="dxa"/>
          <w:bottom w:w="0" w:type="dxa"/>
          <w:end w:w="108" w:type="dxa"/>
        </w:tblCellMar>
      </w:tblPr>
      <w:tblGrid>
        <w:gridCol w:w="2178"/>
        <w:gridCol w:w="4090"/>
        <w:gridCol w:w="40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Justified"/>
              <w:keepNext w:val="true"/>
              <w:widowControl/>
              <w:tabs>
                <w:tab w:val="clear" w:pos="720"/>
                <w:tab w:val="left" w:pos="3762" w:leader="none"/>
                <w:tab w:val="left" w:pos="4230" w:leader="none"/>
                <w:tab w:val="left" w:pos="9360" w:leader="none"/>
              </w:tabs>
              <w:spacing w:lineRule="exact" w:line="240"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First Union National Bank</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301 South College Street</w:t>
            </w:r>
            <w:r>
              <w:rPr>
                <w:b/>
                <w:sz w:val="22"/>
                <w:u w:val="single"/>
              </w:rPr>
              <w:t>, DC-8</w:t>
            </w:r>
          </w:p>
          <w:p>
            <w:pPr>
              <w:pStyle w:val="Normal"/>
              <w:keepNext w:val="true"/>
              <w:tabs>
                <w:tab w:val="clear" w:pos="720"/>
                <w:tab w:val="left" w:pos="3762" w:leader="none"/>
                <w:tab w:val="left" w:pos="4230" w:leader="none"/>
                <w:tab w:val="left" w:pos="9360" w:leader="none"/>
              </w:tabs>
              <w:spacing w:lineRule="exact" w:line="240"/>
              <w:jc w:val="both"/>
              <w:rPr/>
            </w:pPr>
            <w:r>
              <w:rPr>
                <w:sz w:val="22"/>
              </w:rPr>
              <w:t xml:space="preserve">Charlotte, North Carolina </w:t>
            </w:r>
            <w:r>
              <w:rPr>
                <w:strike/>
                <w:sz w:val="22"/>
              </w:rPr>
              <w:t>28288</w:t>
            </w:r>
            <w:r>
              <w:rPr>
                <w:sz w:val="22"/>
              </w:rPr>
              <w:t xml:space="preserve"> </w:t>
            </w:r>
            <w:r>
              <w:rPr>
                <w:b/>
                <w:sz w:val="22"/>
                <w:u w:val="single"/>
              </w:rPr>
              <w:t>28202</w:t>
            </w:r>
            <w:r>
              <w:rPr>
                <w:sz w:val="22"/>
              </w:rPr>
              <w:t>-0600</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Bruce Young, Sr. Vice President, Risk Management</w:t>
            </w:r>
          </w:p>
        </w:tc>
        <w:tc>
          <w:tcPr>
            <w:tcW w:w="40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(704) 383-0575</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(704) 383-8778</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sz w:val="22"/>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w:t>
      </w:r>
      <w:r>
        <w:rPr>
          <w:strike/>
          <w:sz w:val="22"/>
        </w:rPr>
        <w:t>not a Multibranch Party.</w:t>
      </w:r>
      <w:r>
        <w:rPr>
          <w:sz w:val="22"/>
        </w:rPr>
        <w:t xml:space="preserve"> </w:t>
      </w:r>
      <w:r>
        <w:rPr>
          <w:b/>
          <w:sz w:val="22"/>
          <w:u w:val="single"/>
        </w:rPr>
        <w:t>a Multibranch Party and may act through the following Offices - its Charlotte Head Office and its London Branch.</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r>
        <w:rPr>
          <w:b/>
          <w:sz w:val="22"/>
          <w:u w:val="single"/>
        </w:rPr>
        <w:t>, unless Party A is a Defaulting Party in which case a bank or financial institution acceptable to both parties shall be appointed to act as Calculation Agent.  All calculations may be independently confirmed by each party and in the event calculations are inconsistent, Party A and Party B shall seek to resolve the inconsistency in good faith</w:t>
      </w:r>
      <w:r>
        <w:rPr>
          <w:sz w:val="22"/>
        </w:rPr>
        <w:t>.</w:t>
      </w:r>
    </w:p>
    <w:p>
      <w:pPr>
        <w:pStyle w:val="Normal"/>
        <w:spacing w:lineRule="exact" w:line="240" w:before="240" w:after="0"/>
        <w:ind w:firstLine="720" w:end="0"/>
        <w:jc w:val="both"/>
        <w:rPr>
          <w:sz w:val="22"/>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strike/>
          <w:sz w:val="22"/>
        </w:rPr>
        <w:t>None.</w:t>
      </w:r>
      <w:r>
        <w:rPr>
          <w:sz w:val="22"/>
        </w:rPr>
        <w:t xml:space="preserve"> </w:t>
      </w:r>
      <w:r>
        <w:rPr>
          <w:b/>
          <w:sz w:val="22"/>
          <w:u w:val="single"/>
        </w:rPr>
        <w:t>the Credit Support Annex hereto, dated as of July __, 2001, executed and delivered by Party A and Party B.</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none,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r>
        <w:br w:type="page"/>
      </w:r>
    </w:p>
    <w:p>
      <w:pPr>
        <w:pStyle w:val="Normal"/>
        <w:ind w:start="720" w:end="0"/>
        <w:jc w:val="both"/>
        <w:rPr>
          <w:sz w:val="22"/>
        </w:rPr>
      </w:pPr>
      <w:r>
        <w:rPr>
          <w:sz w:val="22"/>
        </w:rPr>
        <w:tab/>
      </w:r>
    </w:p>
    <w:p>
      <w:pPr>
        <w:pStyle w:val="Normal"/>
        <w:ind w:firstLine="720" w:start="720" w:end="0"/>
        <w:jc w:val="both"/>
        <w:rPr/>
      </w:pPr>
      <w:r>
        <w:rPr>
          <w:sz w:val="22"/>
        </w:rPr>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w:t>
      </w:r>
      <w:r>
        <w:rPr>
          <w:strike/>
          <w:sz w:val="22"/>
        </w:rPr>
        <w:t>Houston, Texas</w:t>
      </w:r>
      <w:r>
        <w:rPr>
          <w:sz w:val="22"/>
        </w:rPr>
        <w:t xml:space="preserve"> </w:t>
      </w:r>
      <w:r>
        <w:rPr>
          <w:b/>
          <w:sz w:val="22"/>
          <w:u w:val="single"/>
        </w:rPr>
        <w:t>Atlanta, Georgia</w:t>
      </w:r>
      <w:r>
        <w:rPr>
          <w:sz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ind w:start="720" w:end="0"/>
        <w:jc w:val="both"/>
        <w:rPr>
          <w:color w:val="FF0000"/>
          <w:sz w:val="22"/>
        </w:rPr>
      </w:pPr>
      <w:r>
        <w:rPr>
          <w:color w:val="FF0000"/>
          <w:sz w:val="22"/>
        </w:rPr>
      </w:r>
    </w:p>
    <w:p>
      <w:pPr>
        <w:pStyle w:val="Normal"/>
        <w:keepNext w:val="true"/>
        <w:spacing w:lineRule="exact" w:line="240" w:before="480" w:after="0"/>
        <w:jc w:val="both"/>
        <w:rPr>
          <w:b/>
          <w:sz w:val="22"/>
        </w:rPr>
      </w:pPr>
      <w:r>
        <w:rPr>
          <w:b/>
          <w:sz w:val="22"/>
        </w:rPr>
        <w:t>Part 5.  Other Provisions.</w:t>
      </w:r>
    </w:p>
    <w:p>
      <w:pPr>
        <w:pStyle w:val="Normal"/>
        <w:keepNext w:val="true"/>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 xml:space="preserve"> </w:t>
      </w: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spacing w:lineRule="exact" w:line="240" w:before="240" w:after="0"/>
        <w:ind w:firstLine="720" w:start="720" w:end="0"/>
        <w:jc w:val="both"/>
        <w:rPr>
          <w:sz w:val="22"/>
        </w:rPr>
      </w:pPr>
      <w:r>
        <w:rPr>
          <w:sz w:val="22"/>
        </w:rPr>
        <w:t>(h)</w:t>
        <w:tab/>
      </w:r>
      <w:r>
        <w:rPr>
          <w:b/>
          <w:strike/>
          <w:sz w:val="22"/>
        </w:rPr>
        <w:t>Eligible Swap Participant. It constitutes an “eligible swap participant” as such term is defined in Rule 35.1(b)(2) of the Commodity Futures Trading Commission, 17 C.F.R. § 35.1(b)(2) (1993).</w:t>
      </w:r>
      <w:r>
        <w:rPr>
          <w:b/>
          <w:sz w:val="22"/>
        </w:rPr>
        <w:t xml:space="preserve"> </w:t>
      </w:r>
      <w:r>
        <w:rPr>
          <w:b/>
          <w:sz w:val="22"/>
          <w:u w:val="single"/>
        </w:rPr>
        <w:t>Eligibility.</w:t>
      </w:r>
      <w:r>
        <w:rPr>
          <w:sz w:val="22"/>
        </w:rPr>
        <w:t xml:space="preserve">  </w:t>
      </w:r>
      <w:r>
        <w:rPr>
          <w:b/>
          <w:sz w:val="22"/>
          <w:u w:val="single"/>
        </w:rPr>
        <w:t>It is an “eligible contract participant” within the meaning of the Commodity Exchange Act (as amended by the Commodity Futures Modernization Act of 2000).</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Additional Representations and Agreements.</w:t>
      </w:r>
      <w:r>
        <w:rPr>
          <w:sz w:val="22"/>
        </w:rPr>
        <w:t xml:space="preserve">  For the purpose of Section 3 of the Agreement, Party B further represents and warrants to Party A (which representations will be deemed to be repeated by Party B on each date on which a Transaction is entered into), and agrees with Party A as follows:</w:t>
      </w:r>
    </w:p>
    <w:p>
      <w:pPr>
        <w:pStyle w:val="Normal"/>
        <w:spacing w:lineRule="exact" w:line="240" w:before="240" w:after="0"/>
        <w:ind w:hanging="720" w:start="1440" w:end="0"/>
        <w:jc w:val="both"/>
        <w:rPr>
          <w:sz w:val="22"/>
        </w:rPr>
      </w:pPr>
      <w:r>
        <w:rPr>
          <w:sz w:val="22"/>
        </w:rPr>
        <w:t>(i)</w:t>
        <w:tab/>
        <w:t>The necessary action to authorize referred to in the representation in Section 3(a)(ii) includes all authorizations required under the FDI Act.</w:t>
      </w:r>
    </w:p>
    <w:p>
      <w:pPr>
        <w:pStyle w:val="BodyTextIndent2"/>
        <w:widowControl/>
        <w:tabs>
          <w:tab w:val="clear" w:pos="1350"/>
        </w:tabs>
        <w:spacing w:lineRule="exact" w:line="240" w:before="240" w:after="0"/>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hanging="720" w:start="1440" w:end="0"/>
        <w:jc w:val="both"/>
        <w:rPr>
          <w:sz w:val="22"/>
        </w:rPr>
      </w:pPr>
      <w:r>
        <w:rPr>
          <w:sz w:val="22"/>
        </w:rPr>
        <w:t>(iii)</w:t>
        <w:tab/>
        <w:t xml:space="preserve">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w:t>
      </w:r>
    </w:p>
    <w:p>
      <w:pPr>
        <w:pStyle w:val="Normal"/>
        <w:spacing w:lineRule="exact" w:line="240" w:before="240" w:after="0"/>
        <w:ind w:firstLine="720" w:end="0"/>
        <w:jc w:val="both"/>
        <w:rPr/>
      </w:pPr>
      <w:r>
        <w:rPr>
          <w:sz w:val="22"/>
        </w:rPr>
        <w:t>(d)</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(e)</w:t>
        <w:tab/>
      </w:r>
      <w:r>
        <w:rPr>
          <w:b/>
          <w:sz w:val="22"/>
        </w:rPr>
        <w:t>Definitions.</w:t>
      </w:r>
      <w:r>
        <w:rPr>
          <w:sz w:val="22"/>
        </w:rPr>
        <w:t xml:space="preserve">  This Agreement, each Confirmation, and each Transaction are subject to the </w:t>
      </w:r>
      <w:r>
        <w:rPr>
          <w:strike/>
          <w:sz w:val="22"/>
        </w:rPr>
        <w:t>1991</w:t>
      </w:r>
      <w:r>
        <w:rPr>
          <w:sz w:val="22"/>
        </w:rPr>
        <w:t xml:space="preserve"> </w:t>
      </w:r>
      <w:r>
        <w:rPr>
          <w:b/>
          <w:sz w:val="22"/>
          <w:u w:val="single"/>
        </w:rPr>
        <w:t>2000</w:t>
      </w:r>
      <w:r>
        <w:rPr>
          <w:sz w:val="22"/>
        </w:rPr>
        <w:t xml:space="preserve"> ISDA Definitions (the </w:t>
      </w:r>
      <w:r>
        <w:rPr>
          <w:strike/>
          <w:sz w:val="22"/>
        </w:rPr>
        <w:t>“1991</w:t>
      </w:r>
      <w:r>
        <w:rPr>
          <w:b/>
          <w:sz w:val="22"/>
          <w:u w:val="single"/>
        </w:rPr>
        <w:t>“2000</w:t>
      </w:r>
      <w:r>
        <w:rPr>
          <w:sz w:val="22"/>
        </w:rPr>
        <w:t xml:space="preserve"> Definitions”) and the 1996 ISDA Equity Derivatives Definitions (the “1996 Definitions”), as such definitions may be amended, supplemented, replaced or modified from time to time (the </w:t>
      </w:r>
      <w:r>
        <w:rPr>
          <w:strike/>
          <w:sz w:val="22"/>
        </w:rPr>
        <w:t>1991</w:t>
      </w:r>
      <w:r>
        <w:rPr>
          <w:sz w:val="22"/>
        </w:rPr>
        <w:t xml:space="preserve"> </w:t>
      </w:r>
      <w:r>
        <w:rPr>
          <w:b/>
          <w:sz w:val="22"/>
          <w:u w:val="single"/>
        </w:rPr>
        <w:t>2000</w:t>
      </w:r>
      <w:r>
        <w:rPr>
          <w:sz w:val="22"/>
        </w:rPr>
        <w:t xml:space="preserve"> Definitions and the 1996 Definitions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  In the event of a conflict between the </w:t>
      </w:r>
      <w:r>
        <w:rPr>
          <w:strike/>
          <w:sz w:val="22"/>
        </w:rPr>
        <w:t>1991</w:t>
      </w:r>
      <w:r>
        <w:rPr>
          <w:sz w:val="22"/>
        </w:rPr>
        <w:t xml:space="preserve"> </w:t>
      </w:r>
      <w:r>
        <w:rPr>
          <w:b/>
          <w:sz w:val="22"/>
          <w:u w:val="single"/>
        </w:rPr>
        <w:t>2000</w:t>
      </w:r>
      <w:r>
        <w:rPr>
          <w:sz w:val="22"/>
        </w:rPr>
        <w:t xml:space="preserve"> Definitions and the 1996 Definitions, the 1996 Definitions will prevail.</w:t>
      </w:r>
    </w:p>
    <w:p>
      <w:pPr>
        <w:pStyle w:val="Normal"/>
        <w:spacing w:lineRule="exact" w:line="240" w:before="240" w:after="0"/>
        <w:ind w:firstLine="720" w:end="0"/>
        <w:jc w:val="both"/>
        <w:rPr/>
      </w:pPr>
      <w:r>
        <w:rPr>
          <w:sz w:val="22"/>
        </w:rPr>
        <w:t>(f)</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ten (10)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(g)</w:t>
      </w:r>
      <w:r>
        <w:rPr>
          <w:b/>
          <w:sz w:val="22"/>
        </w:rPr>
        <w:tab/>
        <w:t>Recording.</w:t>
      </w:r>
      <w:r>
        <w:rPr>
          <w:sz w:val="22"/>
        </w:rPr>
        <w:t xml:space="preserve">  Each party consents to the recording, at any time and from time to time, by the other party of any and all communications between officers or employees of the parties in connection with this Agreement or any Transactions, and waives any further notice of such recording.  Such recordings may be submitted in evidence in proceedings to establish matters pertinent to this Agreement or any Transaction.</w:t>
      </w:r>
    </w:p>
    <w:p>
      <w:pPr>
        <w:pStyle w:val="Normal"/>
        <w:spacing w:lineRule="exact" w:line="240" w:before="240" w:after="0"/>
        <w:ind w:firstLine="720" w:end="0"/>
        <w:jc w:val="both"/>
        <w:rPr/>
      </w:pPr>
      <w:r>
        <w:rPr>
          <w:sz w:val="22"/>
        </w:rPr>
        <w:t>(h)</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(i)</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(j)</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other than as a result of a disclosure in violation of the terms hereof, (ii) as may be required or appropriate in response to any summons, subpoena, or otherwise in connection with any litigation or to comply with any applicable law, order, regulation, ruling, or accounting disclosure rule or standard, whether in response thereto or upon initiation by either party defending itself, reducing its liability, or protecting or exercising any of its claims, rights, remedies or interests under or in connection with this Agreement or any Transaction,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(k)</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720" w:start="720" w:end="0"/>
        <w:jc w:val="both"/>
        <w:rPr/>
      </w:pPr>
      <w:r>
        <w:rPr>
          <w:sz w:val="22"/>
        </w:rPr>
        <w:t>“</w:t>
      </w:r>
      <w:r>
        <w:rPr>
          <w:sz w:val="22"/>
        </w:rPr>
        <w:t xml:space="preserve">(c)  Party A and/or Party B may transfer its rights and obligations under this Agreement, in whole but not in part, to any Affiliate </w:t>
      </w:r>
      <w:r>
        <w:rPr>
          <w:strike/>
          <w:sz w:val="22"/>
        </w:rPr>
        <w:t>hereunder</w:t>
      </w:r>
      <w:r>
        <w:rPr>
          <w:sz w:val="22"/>
        </w:rPr>
        <w:t xml:space="preserve"> </w:t>
      </w:r>
      <w:r>
        <w:rPr>
          <w:b/>
          <w:sz w:val="22"/>
          <w:u w:val="single"/>
        </w:rPr>
        <w:t>organized in the United States of America</w:t>
      </w:r>
      <w:r>
        <w:rPr>
          <w:sz w:val="22"/>
        </w:rPr>
        <w:t xml:space="preserve"> so long as the obligations of such Affiliate are guaranteed by Enron Corp., with respect to Party A, and First Union National Bank, with </w:t>
      </w:r>
      <w:r>
        <w:rPr>
          <w:strike/>
          <w:sz w:val="22"/>
        </w:rPr>
        <w:t>repsect</w:t>
      </w:r>
      <w:r>
        <w:rPr>
          <w:sz w:val="22"/>
        </w:rPr>
        <w:t xml:space="preserve"> </w:t>
      </w:r>
      <w:r>
        <w:rPr>
          <w:b/>
          <w:sz w:val="22"/>
          <w:u w:val="single"/>
        </w:rPr>
        <w:t>respect</w:t>
      </w:r>
      <w:r>
        <w:rPr>
          <w:sz w:val="22"/>
        </w:rPr>
        <w:t xml:space="preserve"> to Party B, provided that such transfer will not give rise to a Termination Event or an Event of Default.”</w:t>
      </w:r>
    </w:p>
    <w:p>
      <w:pPr>
        <w:pStyle w:val="Normal"/>
        <w:spacing w:lineRule="exact" w:line="240" w:before="240" w:after="0"/>
        <w:ind w:firstLine="720" w:end="0"/>
        <w:jc w:val="both"/>
        <w:rPr/>
      </w:pPr>
      <w:r>
        <w:rPr>
          <w:sz w:val="22"/>
        </w:rPr>
        <w:t xml:space="preserve"> </w:t>
      </w:r>
      <w:r>
        <w:rPr>
          <w:sz w:val="22"/>
        </w:rPr>
        <w:t>(l)</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(m)</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 xml:space="preserve"> </w:t>
      </w:r>
      <w:r>
        <w:rPr>
          <w:sz w:val="22"/>
        </w:rPr>
        <w:t xml:space="preserve">(n)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w:t>
      </w:r>
      <w:r>
        <w:rPr>
          <w:strike/>
          <w:sz w:val="22"/>
        </w:rPr>
        <w:t>this Agreement</w:t>
      </w:r>
      <w:r>
        <w:rPr>
          <w:sz w:val="22"/>
        </w:rPr>
        <w:t xml:space="preserve"> </w:t>
      </w:r>
      <w:r>
        <w:rPr>
          <w:b/>
          <w:sz w:val="22"/>
          <w:u w:val="single"/>
        </w:rPr>
        <w:t>the Prior Transactions</w:t>
      </w:r>
      <w:r>
        <w:rPr>
          <w:sz w:val="22"/>
        </w:rPr>
        <w:t xml:space="preserve"> shall control. </w:t>
      </w:r>
    </w:p>
    <w:p>
      <w:pPr>
        <w:pStyle w:val="Normal"/>
        <w:ind w:firstLine="720" w:end="0"/>
        <w:jc w:val="both"/>
        <w:rPr>
          <w:color w:val="000000"/>
          <w:sz w:val="22"/>
        </w:rPr>
      </w:pPr>
      <w:r>
        <w:rPr>
          <w:color w:val="000000"/>
          <w:sz w:val="22"/>
        </w:rPr>
      </w:r>
    </w:p>
    <w:p>
      <w:pPr>
        <w:pStyle w:val="Normal"/>
        <w:jc w:val="both"/>
        <w:rPr>
          <w:sz w:val="22"/>
        </w:rPr>
      </w:pPr>
      <w:r>
        <w:rPr>
          <w:b/>
          <w:sz w:val="22"/>
        </w:rPr>
        <w:t>Part 6.  Additional Terms for FX Transactions and Currency Option Transactions.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jc w:val="both"/>
        <w:rPr>
          <w:sz w:val="22"/>
        </w:rPr>
      </w:pPr>
      <w:r>
        <w:rPr>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(b)</w:t>
        <w:tab/>
      </w:r>
      <w:r>
        <w:rPr>
          <w:b/>
          <w:sz w:val="22"/>
        </w:rPr>
        <w:t>Incorporation of and Amendments to ISDA FX Definitions.</w:t>
      </w:r>
      <w:r>
        <w:rPr>
          <w:sz w:val="22"/>
        </w:rPr>
        <w:t xml:space="preserve">  The 1998 ISDA FX and Currency Option Definitions (the "FX and Currency Option Definitions"), published by the International Swaps and Derivatives Association, Inc. (together with the Emerging Markets Traders Association and The Foreign Exchange Committee)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sz w:val="22"/>
        </w:rPr>
      </w:pPr>
      <w:r>
        <w:rPr>
          <w:sz w:val="22"/>
        </w:rPr>
        <w:t>The following amendment is made to the FX and Currency Option Definitions: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rPr>
      </w:pPr>
      <w:r>
        <w:rPr>
          <w:sz w:val="22"/>
        </w:rPr>
      </w:r>
    </w:p>
    <w:p>
      <w:pPr>
        <w:pStyle w:val="Normal"/>
        <w:keepNext w:val="true"/>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keepNext w:val="true"/>
        <w:tabs>
          <w:tab w:val="clear" w:pos="720"/>
          <w:tab w:val="left" w:pos="1350" w:leader="none"/>
        </w:tabs>
        <w:ind w:start="720" w:end="0"/>
        <w:jc w:val="both"/>
        <w:rPr>
          <w:sz w:val="22"/>
        </w:rPr>
      </w:pPr>
      <w:r>
        <w:rPr>
          <w:sz w:val="22"/>
        </w:rPr>
      </w:r>
    </w:p>
    <w:p>
      <w:pPr>
        <w:pStyle w:val="BodyTextIndent3"/>
        <w:keepNext w:val="true"/>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BodyTextIndent3"/>
        <w:widowControl/>
        <w:spacing w:lineRule="auto" w:line="240"/>
        <w:ind w:hanging="720" w:start="1440" w:end="0"/>
        <w:rPr/>
      </w:pPr>
      <w:r>
        <w:rPr/>
      </w:r>
    </w:p>
    <w:p>
      <w:pPr>
        <w:pStyle w:val="BodyTextIndent2"/>
        <w:keepNext w:val="true"/>
        <w:widowControl/>
        <w:tabs>
          <w:tab w:val="clear" w:pos="1350"/>
        </w:tabs>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jc w:val="both"/>
        <w:rPr>
          <w:b/>
          <w:sz w:val="22"/>
        </w:rPr>
      </w:pPr>
      <w:r>
        <w:rPr>
          <w:b/>
          <w:sz w:val="22"/>
        </w:rPr>
      </w:r>
    </w:p>
    <w:p>
      <w:pPr>
        <w:pStyle w:val="Justified"/>
        <w:widowControl/>
        <w:spacing w:before="0" w:after="0"/>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(i)</w:t>
        <w:tab/>
        <w:t>each being with respect to the same Put Currency and the same Call Currency;</w:t>
      </w:r>
    </w:p>
    <w:p>
      <w:pPr>
        <w:pStyle w:val="Justified"/>
        <w:widowControl/>
        <w:spacing w:before="240" w:after="0"/>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(ii)</w:t>
        <w:tab/>
        <w:t>each having the same Expiration Date and Expiration Time;</w:t>
      </w:r>
    </w:p>
    <w:p>
      <w:pPr>
        <w:pStyle w:val="Justified"/>
        <w:widowControl/>
        <w:spacing w:before="240" w:after="0"/>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(iv)</w:t>
        <w:tab/>
        <w:t>each having the same Strike Price; and</w:t>
      </w:r>
    </w:p>
    <w:p>
      <w:pPr>
        <w:pStyle w:val="Justified"/>
        <w:widowControl/>
        <w:spacing w:before="240" w:after="0"/>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(v)</w:t>
        <w:tab/>
        <w:t>neither of which shall have been exercised by delivery of a Notice of Exercise;</w:t>
      </w:r>
    </w:p>
    <w:p>
      <w:pPr>
        <w:pStyle w:val="Justified"/>
        <w:widowControl/>
        <w:spacing w:before="0" w:after="0"/>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Justified"/>
        <w:widowControl/>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br w:type="page"/>
      </w:r>
    </w:p>
    <w:p>
      <w:pPr>
        <w:pStyle w:val="Normal"/>
        <w:keepNext w:val="true"/>
        <w:tabs>
          <w:tab w:val="clear" w:pos="720"/>
          <w:tab w:val="left" w:pos="1134" w:leader="none"/>
        </w:tabs>
        <w:spacing w:before="480" w:after="0"/>
        <w:rPr>
          <w:sz w:val="22"/>
        </w:rPr>
      </w:pPr>
      <w:r>
        <w:rPr>
          <w:b/>
          <w:sz w:val="22"/>
        </w:rPr>
        <w:t>Part 7.  Transactions Governed by FRABBA Terms.</w:t>
      </w:r>
    </w:p>
    <w:p>
      <w:pPr>
        <w:pStyle w:val="Justified"/>
        <w:keepNext w:val="true"/>
        <w:widowControl/>
        <w:spacing w:before="0" w:after="0"/>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Header"/>
        <w:keepNext w:val="true"/>
        <w:widowControl/>
        <w:jc w:val="both"/>
        <w:rPr/>
      </w:pPr>
      <w:r>
        <w:rPr/>
        <w:t xml:space="preserve">Any forward rate agreement into which the parties </w:t>
      </w:r>
      <w:r>
        <w:rPr>
          <w:i/>
        </w:rPr>
        <w:t>have entered</w:t>
      </w:r>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rPr>
        <w:t>may enter</w:t>
      </w:r>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p>
    <w:p>
      <w:pPr>
        <w:pStyle w:val="Justified"/>
        <w:widowControl/>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Justified"/>
        <w:widowControl/>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EXECUTED effective as of the date first written above.</w:t>
      </w:r>
    </w:p>
    <w:p>
      <w:pPr>
        <w:pStyle w:val="Normal"/>
        <w:jc w:val="both"/>
        <w:rPr>
          <w:rFonts w:ascii="Times New Roman;Times New Roman" w:hAnsi="Times New Roman;Times New Roman" w:cs="Times New Roman;Times New Roman"/>
          <w:sz w:val="22"/>
        </w:rPr>
      </w:pPr>
      <w:r>
        <w:rPr>
          <w:rFonts w:cs="Times New Roman;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b/>
                <w:sz w:val="22"/>
              </w:rPr>
              <w:t>ENRON CORP.</w:t>
            </w:r>
          </w:p>
          <w:p>
            <w:pPr>
              <w:pStyle w:val="Normal"/>
              <w:keepNext w:val="true"/>
              <w:spacing w:lineRule="exact" w:line="240"/>
              <w:jc w:val="both"/>
              <w:rPr>
                <w:b/>
                <w:color w:val="800080"/>
                <w:sz w:val="22"/>
              </w:rPr>
            </w:pPr>
            <w:r>
              <w:rPr>
                <w:b/>
                <w:color w:val="80008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Heading4"/>
              <w:widowControl/>
              <w:tabs>
                <w:tab w:val="clear" w:pos="1080"/>
              </w:tabs>
              <w:spacing w:lineRule="exact" w:line="240"/>
              <w:ind w:hanging="0" w:start="0"/>
              <w:rPr/>
            </w:pPr>
            <w:r>
              <w:rPr/>
              <w:t>FIRST UNION NATIONAL BANK</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pPr>
      <w:r>
        <w:rPr/>
      </w:r>
      <w:r>
        <w:br w:type="page"/>
      </w:r>
    </w:p>
    <w:p>
      <w:pPr>
        <w:pStyle w:val="Normal"/>
        <w:spacing w:lineRule="atLeast" w:line="240"/>
        <w:rPr>
          <w:sz w:val="24"/>
        </w:rPr>
      </w:pPr>
      <w:r>
        <w:rPr>
          <w:sz w:val="24"/>
        </w:rPr>
      </w:r>
    </w:p>
    <w:p>
      <w:pPr>
        <w:pStyle w:val="Normal"/>
        <w:spacing w:lineRule="atLeast" w:line="240"/>
        <w:rPr>
          <w:sz w:val="24"/>
        </w:rPr>
      </w:pPr>
      <w:r>
        <w:rPr>
          <w:sz w:val="24"/>
        </w:rPr>
        <w:t>---------------------- REVISION LIST ----------------------</w:t>
      </w:r>
    </w:p>
    <w:p>
      <w:pPr>
        <w:pStyle w:val="Normal"/>
        <w:spacing w:lineRule="atLeast" w:line="240"/>
        <w:rPr>
          <w:sz w:val="24"/>
        </w:rPr>
      </w:pPr>
      <w:r>
        <w:rPr>
          <w:sz w:val="24"/>
        </w:rPr>
      </w:r>
    </w:p>
    <w:p>
      <w:pPr>
        <w:pStyle w:val="Normal"/>
        <w:spacing w:lineRule="atLeast" w:line="240"/>
        <w:rPr>
          <w:sz w:val="24"/>
        </w:rPr>
      </w:pPr>
      <w:r>
        <w:rPr>
          <w:sz w:val="24"/>
        </w:rPr>
        <w:t>The bracketed numbers refer to the Page and Paragraph for the start of the paragraph in both the old and the new documents.</w:t>
      </w:r>
    </w:p>
    <w:p>
      <w:pPr>
        <w:pStyle w:val="Normal"/>
        <w:spacing w:lineRule="atLeast" w:line="240"/>
        <w:rPr>
          <w:sz w:val="24"/>
        </w:rPr>
      </w:pPr>
      <w:r>
        <w:rPr>
          <w:sz w:val="24"/>
        </w:rPr>
      </w:r>
    </w:p>
    <w:p>
      <w:pPr>
        <w:pStyle w:val="Normal"/>
        <w:spacing w:lineRule="atLeast" w:line="240"/>
        <w:rPr>
          <w:sz w:val="24"/>
        </w:rPr>
      </w:pPr>
      <w:r>
        <w:rPr>
          <w:sz w:val="24"/>
        </w:rPr>
        <w:t>[1:1 1:1] Changed</w:t>
        <w:tab/>
        <w:t>"04/20/2001" to "07/20/2001"</w:t>
      </w:r>
    </w:p>
    <w:p>
      <w:pPr>
        <w:pStyle w:val="Normal"/>
        <w:spacing w:lineRule="atLeast" w:line="240"/>
        <w:rPr>
          <w:sz w:val="24"/>
        </w:rPr>
      </w:pPr>
      <w:r>
        <w:rPr>
          <w:sz w:val="24"/>
        </w:rPr>
        <w:t>[1:5 1:5] Changed</w:t>
        <w:tab/>
        <w:t>"BANK a" to "BANK, a"</w:t>
      </w:r>
    </w:p>
    <w:p>
      <w:pPr>
        <w:pStyle w:val="Normal"/>
        <w:spacing w:lineRule="atLeast" w:line="240"/>
        <w:rPr>
          <w:sz w:val="24"/>
        </w:rPr>
      </w:pPr>
      <w:r>
        <w:rPr>
          <w:sz w:val="24"/>
        </w:rPr>
        <w:t>[1:9 1:9] Changed</w:t>
        <w:tab/>
        <w:t>"will not apply" to "will apply"</w:t>
      </w:r>
    </w:p>
    <w:p>
      <w:pPr>
        <w:pStyle w:val="Normal"/>
        <w:spacing w:lineRule="atLeast" w:line="240"/>
        <w:rPr>
          <w:sz w:val="24"/>
        </w:rPr>
      </w:pPr>
      <w:r>
        <w:rPr>
          <w:sz w:val="24"/>
        </w:rPr>
        <w:t>[1:22 1:22] Changed</w:t>
        <w:tab/>
        <w:t>"America." to "America and  ...  purposes."</w:t>
      </w:r>
    </w:p>
    <w:p>
      <w:pPr>
        <w:pStyle w:val="Normal"/>
        <w:spacing w:lineRule="atLeast" w:line="240"/>
        <w:rPr>
          <w:sz w:val="24"/>
        </w:rPr>
      </w:pPr>
      <w:r>
        <w:rPr>
          <w:sz w:val="24"/>
        </w:rPr>
        <w:t>[1:27 1:27] Changed</w:t>
        <w:tab/>
        <w:t>"Party BAnnual  ...  Statement " to "Party  ...  call reports "</w:t>
      </w:r>
    </w:p>
    <w:p>
      <w:pPr>
        <w:pStyle w:val="Normal"/>
        <w:spacing w:lineRule="atLeast" w:line="240"/>
        <w:rPr>
          <w:sz w:val="24"/>
        </w:rPr>
      </w:pPr>
      <w:r>
        <w:rPr>
          <w:sz w:val="24"/>
        </w:rPr>
        <w:t>[1:27 1:27] Changed</w:t>
        <w:tab/>
        <w:t>"Party BYesPart 4." to "Party B if  ...  www.fdic.govYesPart 4."</w:t>
      </w:r>
    </w:p>
    <w:p>
      <w:pPr>
        <w:pStyle w:val="Normal"/>
        <w:spacing w:lineRule="atLeast" w:line="240"/>
        <w:rPr>
          <w:sz w:val="24"/>
        </w:rPr>
      </w:pPr>
      <w:r>
        <w:rPr>
          <w:sz w:val="24"/>
        </w:rPr>
        <w:t>[1:44 1:44] Changed</w:t>
        <w:tab/>
        <w:t>"Street" to "Street, DC-8"</w:t>
      </w:r>
    </w:p>
    <w:p>
      <w:pPr>
        <w:pStyle w:val="Normal"/>
        <w:spacing w:lineRule="atLeast" w:line="240"/>
        <w:rPr>
          <w:sz w:val="24"/>
        </w:rPr>
      </w:pPr>
      <w:r>
        <w:rPr>
          <w:sz w:val="24"/>
        </w:rPr>
        <w:t>[1:45 1:45] Changed</w:t>
        <w:tab/>
        <w:t>"28288" to "28202"</w:t>
      </w:r>
    </w:p>
    <w:p>
      <w:pPr>
        <w:pStyle w:val="Normal"/>
        <w:spacing w:lineRule="atLeast" w:line="240"/>
        <w:rPr>
          <w:sz w:val="24"/>
        </w:rPr>
      </w:pPr>
      <w:r>
        <w:rPr>
          <w:sz w:val="24"/>
        </w:rPr>
        <w:t>[1:47 1:47] Changed</w:t>
        <w:tab/>
        <w:t>"not a Multibranch Party." to "a Multibranch  ...  London Branch."</w:t>
      </w:r>
    </w:p>
    <w:p>
      <w:pPr>
        <w:pStyle w:val="Normal"/>
        <w:spacing w:lineRule="atLeast" w:line="240"/>
        <w:rPr>
          <w:sz w:val="24"/>
        </w:rPr>
      </w:pPr>
      <w:r>
        <w:rPr>
          <w:sz w:val="24"/>
        </w:rPr>
        <w:t>[1:48 1:48] Changed</w:t>
        <w:tab/>
        <w:t>"A." to "A, unless  ...  good faith."</w:t>
      </w:r>
    </w:p>
    <w:p>
      <w:pPr>
        <w:pStyle w:val="Normal"/>
        <w:spacing w:lineRule="atLeast" w:line="240"/>
        <w:rPr>
          <w:sz w:val="24"/>
        </w:rPr>
      </w:pPr>
      <w:r>
        <w:rPr>
          <w:sz w:val="24"/>
        </w:rPr>
        <w:t>[1:49 1:49] Changed</w:t>
        <w:tab/>
        <w:t>"None." to "the Credit  ...  and Party B."</w:t>
      </w:r>
    </w:p>
    <w:p>
      <w:pPr>
        <w:pStyle w:val="Normal"/>
        <w:spacing w:lineRule="atLeast" w:line="240"/>
        <w:rPr>
          <w:sz w:val="24"/>
        </w:rPr>
      </w:pPr>
      <w:r>
        <w:rPr>
          <w:sz w:val="24"/>
        </w:rPr>
        <w:t>[1:56 1:56] Changed</w:t>
        <w:tab/>
        <w:t>"Houston, Texas" to "Atlanta, Georgia"</w:t>
      </w:r>
    </w:p>
    <w:p>
      <w:pPr>
        <w:pStyle w:val="Normal"/>
        <w:spacing w:lineRule="atLeast" w:line="240"/>
        <w:rPr>
          <w:sz w:val="24"/>
        </w:rPr>
      </w:pPr>
      <w:r>
        <w:rPr>
          <w:sz w:val="24"/>
        </w:rPr>
        <w:t>[1:62 1:62] Changed</w:t>
        <w:tab/>
        <w:t>"Eligible Swap  ...  35.1(b)(2) (1993)." to "Eligibility.  ...  of 2000)."</w:t>
      </w:r>
    </w:p>
    <w:p>
      <w:pPr>
        <w:pStyle w:val="Normal"/>
        <w:spacing w:lineRule="atLeast" w:line="240"/>
        <w:rPr>
          <w:sz w:val="24"/>
        </w:rPr>
      </w:pPr>
      <w:r>
        <w:rPr>
          <w:sz w:val="24"/>
        </w:rPr>
        <w:t>[1:70 1:70] Changed</w:t>
        <w:tab/>
        <w:t>"the 1991 ISDA" to "the 2000 ISDA"</w:t>
      </w:r>
    </w:p>
    <w:p>
      <w:pPr>
        <w:pStyle w:val="Normal"/>
        <w:spacing w:lineRule="atLeast" w:line="240"/>
        <w:rPr>
          <w:sz w:val="24"/>
        </w:rPr>
      </w:pPr>
      <w:r>
        <w:rPr>
          <w:sz w:val="24"/>
        </w:rPr>
        <w:t>[1:70 1:70] Changed</w:t>
        <w:tab/>
        <w:t>"“1991 " to "“2000 "</w:t>
      </w:r>
    </w:p>
    <w:p>
      <w:pPr>
        <w:pStyle w:val="Normal"/>
        <w:spacing w:lineRule="atLeast" w:line="240"/>
        <w:rPr>
          <w:sz w:val="24"/>
        </w:rPr>
      </w:pPr>
      <w:r>
        <w:rPr>
          <w:sz w:val="24"/>
        </w:rPr>
        <w:t>[1:70 1:70] Changed</w:t>
        <w:tab/>
        <w:t>"(the 1991 Definitions" to "(the 2000 Definitions"</w:t>
      </w:r>
    </w:p>
    <w:p>
      <w:pPr>
        <w:pStyle w:val="Normal"/>
        <w:spacing w:lineRule="atLeast" w:line="240"/>
        <w:rPr>
          <w:sz w:val="24"/>
        </w:rPr>
      </w:pPr>
      <w:r>
        <w:rPr>
          <w:sz w:val="24"/>
        </w:rPr>
        <w:t>[1:70 1:70] Changed</w:t>
        <w:tab/>
        <w:t>"between the 1991 Definitions and" to "between the 2000 Definitions and"</w:t>
      </w:r>
    </w:p>
    <w:p>
      <w:pPr>
        <w:pStyle w:val="Normal"/>
        <w:spacing w:lineRule="atLeast" w:line="240"/>
        <w:rPr>
          <w:sz w:val="24"/>
        </w:rPr>
      </w:pPr>
      <w:r>
        <w:rPr>
          <w:sz w:val="24"/>
        </w:rPr>
        <w:t>[1:78 1:78] Changed</w:t>
        <w:tab/>
        <w:t>"hereunder " to "organized  ...  of America "</w:t>
      </w:r>
    </w:p>
    <w:p>
      <w:pPr>
        <w:pStyle w:val="Normal"/>
        <w:spacing w:lineRule="atLeast" w:line="240"/>
        <w:rPr>
          <w:sz w:val="24"/>
        </w:rPr>
      </w:pPr>
      <w:r>
        <w:rPr>
          <w:sz w:val="24"/>
        </w:rPr>
        <w:t>[1:78 1:78] Changed</w:t>
        <w:tab/>
        <w:t>"repsect " to "respect "</w:t>
      </w:r>
    </w:p>
    <w:p>
      <w:pPr>
        <w:pStyle w:val="Normal"/>
        <w:spacing w:lineRule="atLeast" w:line="240"/>
        <w:rPr>
          <w:sz w:val="24"/>
        </w:rPr>
      </w:pPr>
      <w:r>
        <w:rPr>
          <w:sz w:val="24"/>
        </w:rPr>
        <w:t>[1:81 1:81] Changed</w:t>
        <w:tab/>
        <w:t>"of this Agreement shall" to "of the Prior Transactions shall"</w:t>
      </w:r>
    </w:p>
    <w:p>
      <w:pPr>
        <w:pStyle w:val="Normal"/>
        <w:spacing w:lineRule="atLeast" w:line="240"/>
        <w:rPr>
          <w:sz w:val="24"/>
        </w:rPr>
      </w:pPr>
      <w:r>
        <w:rPr>
          <w:sz w:val="24"/>
        </w:rPr>
      </w:r>
    </w:p>
    <w:p>
      <w:pPr>
        <w:pStyle w:val="Normal"/>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O:\Legal\Sbailey\Ctr\184actr(enron-firstunion).doc</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14</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GB" w:eastAsia="zh-CN" w:bidi="hi-IN"/>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Arial" w:hAnsi="Arial;Arial" w:cs="Arial;Arial"/>
      <w:lang w:eastAsia="en-US"/>
    </w:rPr>
  </w:style>
  <w:style w:type="paragraph" w:styleId="Heading4">
    <w:name w:val="heading 4"/>
    <w:basedOn w:val="Normal"/>
    <w:next w:val="Normal"/>
    <w:qFormat/>
    <w:pPr>
      <w:keepNext w:val="true"/>
      <w:widowControl w:val="false"/>
      <w:numPr>
        <w:ilvl w:val="3"/>
        <w:numId w:val="1"/>
      </w:numPr>
      <w:tabs>
        <w:tab w:val="clear" w:pos="720"/>
        <w:tab w:val="left" w:pos="1080" w:leader="none"/>
      </w:tabs>
      <w:spacing w:lineRule="exact" w:line="480"/>
      <w:jc w:val="both"/>
      <w:outlineLvl w:val="3"/>
    </w:pPr>
    <w:rPr>
      <w:b/>
      <w:sz w:val="22"/>
      <w:lang w:eastAsia="en-US"/>
    </w:rPr>
  </w:style>
  <w:style w:type="paragraph" w:styleId="Heading5">
    <w:name w:val="heading 5"/>
    <w:basedOn w:val="Normal"/>
    <w:next w:val="Normal"/>
    <w:qFormat/>
    <w:pPr>
      <w:keepNext w:val="true"/>
      <w:widowControl w:val="false"/>
      <w:numPr>
        <w:ilvl w:val="4"/>
        <w:numId w:val="1"/>
      </w:numPr>
      <w:jc w:val="end"/>
      <w:outlineLvl w:val="4"/>
    </w:pPr>
    <w:rPr>
      <w:b/>
      <w:sz w:val="22"/>
      <w:u w:val="single"/>
      <w:lang w:eastAsia="en-US"/>
    </w:rPr>
  </w:style>
  <w:style w:type="character" w:styleId="DefaultParagraphFont">
    <w:name w:val="Default Paragraph Font"/>
    <w:qForma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widowControl w:val="false"/>
      <w:spacing w:before="0" w:after="120"/>
      <w:jc w:val="center"/>
    </w:pPr>
    <w:rPr>
      <w:b/>
      <w:sz w:val="22"/>
      <w:lang w:eastAsia="en-US"/>
    </w:rPr>
  </w:style>
  <w:style w:type="paragraph" w:styleId="Justified">
    <w:name w:val="Justified"/>
    <w:basedOn w:val="Normal"/>
    <w:next w:val="Heading2"/>
    <w:qFormat/>
    <w:pPr>
      <w:widowControl w:val="false"/>
      <w:spacing w:before="0" w:after="120"/>
      <w:jc w:val="both"/>
    </w:pPr>
    <w:rPr>
      <w:rFonts w:ascii="Arial;Arial" w:hAnsi="Arial;Arial" w:cs="Arial;Arial"/>
      <w:sz w:val="22"/>
      <w:lang w:eastAsia="en-US"/>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lang w:eastAsia="en-US"/>
    </w:rPr>
  </w:style>
  <w:style w:type="paragraph" w:styleId="BodyTextIndent3">
    <w:name w:val="Body Text Indent 3"/>
    <w:basedOn w:val="Normal"/>
    <w:qFormat/>
    <w:pPr>
      <w:widowControl w:val="false"/>
      <w:spacing w:lineRule="exact" w:line="240"/>
      <w:ind w:firstLine="720" w:start="720" w:end="0"/>
      <w:jc w:val="both"/>
    </w:pPr>
    <w:rPr>
      <w:sz w:val="22"/>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lang w:eastAsia="en-US"/>
    </w:rPr>
  </w:style>
  <w:style w:type="paragraph" w:styleId="Footer">
    <w:name w:val="footer"/>
    <w:basedOn w:val="Normal"/>
    <w:pPr>
      <w:widowControl w:val="false"/>
      <w:tabs>
        <w:tab w:val="clear" w:pos="720"/>
        <w:tab w:val="center" w:pos="4320" w:leader="none"/>
        <w:tab w:val="right" w:pos="8640" w:leader="none"/>
      </w:tabs>
    </w:pPr>
    <w:rPr>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2001-08-01T16:17:00Z</dcterms:created>
  <dc:creator>a0211972</dc:creator>
  <dc:description/>
  <dc:language>en-CA</dc:language>
  <cp:lastModifiedBy>a0211972</cp:lastModifiedBy>
  <dcterms:modified xsi:type="dcterms:W3CDTF">2001-08-01T16:37:00Z</dcterms:modified>
  <cp:revision>5</cp:revision>
  <dc:subject/>
  <dc:title>This redlined draft, generated by CompareRite (TM) - The Instant Redliner, shows the differences between - </dc:title>
</cp:coreProperties>
</file>