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ind w:hanging="0" w:start="0"/>
        <w:rPr/>
      </w:pPr>
      <w:r>
        <w:rPr/>
        <w:t>DRAFT OF 07/20/2001</w:t>
      </w:r>
    </w:p>
    <w:p>
      <w:pPr>
        <w:pStyle w:val="Normal"/>
        <w:jc w:val="end"/>
        <w:rPr>
          <w:b/>
          <w:sz w:val="22"/>
        </w:rPr>
      </w:pPr>
      <w:r>
        <w:rPr>
          <w:b/>
          <w:sz w:val="22"/>
        </w:rPr>
      </w:r>
    </w:p>
    <w:p>
      <w:pPr>
        <w:pStyle w:val="BodyText3"/>
        <w:rPr/>
      </w:pPr>
      <w:r>
        <w:rPr/>
        <w:t>SCHEDULE</w:t>
        <w:br/>
        <w:t>to the</w:t>
        <w:br/>
        <w:t>MASTER AGREEMENT</w:t>
        <w:br/>
        <w:t>(Multicurrency-Cross Border)</w:t>
      </w:r>
    </w:p>
    <w:p>
      <w:pPr>
        <w:pStyle w:val="Normal"/>
        <w:tabs>
          <w:tab w:val="clear" w:pos="720"/>
          <w:tab w:val="center" w:pos="5760" w:leader="none"/>
        </w:tabs>
        <w:spacing w:before="120" w:after="0"/>
        <w:jc w:val="center"/>
        <w:rPr>
          <w:b/>
          <w:sz w:val="22"/>
        </w:rPr>
      </w:pPr>
      <w:r>
        <w:rPr>
          <w:b/>
          <w:sz w:val="22"/>
        </w:rPr>
        <w:t>dated as of _________________, 2001</w:t>
      </w:r>
    </w:p>
    <w:p>
      <w:pPr>
        <w:pStyle w:val="Normal"/>
        <w:tabs>
          <w:tab w:val="clear" w:pos="720"/>
          <w:tab w:val="center" w:pos="5760" w:leader="none"/>
        </w:tabs>
        <w:spacing w:before="120" w:after="0"/>
        <w:jc w:val="center"/>
        <w:rPr>
          <w:b/>
          <w:sz w:val="22"/>
        </w:rPr>
      </w:pPr>
      <w:r>
        <w:rPr>
          <w:b/>
          <w:sz w:val="22"/>
        </w:rPr>
        <w:t>between</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tabs>
                <w:tab w:val="clear" w:pos="720"/>
                <w:tab w:val="center" w:pos="5760" w:leader="none"/>
              </w:tabs>
              <w:spacing w:before="240" w:after="0"/>
              <w:jc w:val="center"/>
              <w:rPr>
                <w:b/>
                <w:sz w:val="22"/>
              </w:rPr>
            </w:pPr>
            <w:r>
              <w:rPr>
                <w:b/>
                <w:sz w:val="22"/>
              </w:rPr>
              <w:t>ENRON CORP., a corporation organized under the law of the State of Oregon (“Party A”), and</w:t>
            </w:r>
          </w:p>
        </w:tc>
        <w:tc>
          <w:tcPr>
            <w:tcW w:w="4788" w:type="dxa"/>
            <w:tcBorders/>
          </w:tcPr>
          <w:p>
            <w:pPr>
              <w:pStyle w:val="Normal"/>
              <w:tabs>
                <w:tab w:val="clear" w:pos="720"/>
                <w:tab w:val="center" w:pos="5760" w:leader="none"/>
              </w:tabs>
              <w:spacing w:before="240" w:after="0"/>
              <w:jc w:val="center"/>
              <w:rPr>
                <w:b/>
                <w:color w:val="808000"/>
                <w:sz w:val="22"/>
              </w:rPr>
            </w:pPr>
            <w:r>
              <w:rPr>
                <w:b/>
                <w:sz w:val="22"/>
              </w:rPr>
              <w:t>FIRST UNION NATIONAL BANK, a national banking association organized under the law of the United States of America (“Party B”)</w:t>
            </w:r>
          </w:p>
        </w:tc>
      </w:tr>
    </w:tbl>
    <w:p>
      <w:pPr>
        <w:pStyle w:val="Normal"/>
        <w:spacing w:before="480" w:after="0"/>
        <w:jc w:val="both"/>
        <w:rPr/>
      </w:pPr>
      <w:r>
        <w:rPr>
          <w:b/>
          <w:sz w:val="22"/>
        </w:rPr>
        <w:t>Part 1.</w:t>
      </w:r>
      <w:r>
        <w:rPr>
          <w:sz w:val="22"/>
        </w:rPr>
        <w:t xml:space="preserve"> </w:t>
      </w:r>
      <w:r>
        <w:rPr>
          <w:b/>
          <w:sz w:val="22"/>
        </w:rPr>
        <w:t>Termination Provisions.</w:t>
      </w:r>
    </w:p>
    <w:p>
      <w:pPr>
        <w:pStyle w:val="Normal"/>
        <w:spacing w:lineRule="exact" w:line="240" w:before="240" w:after="0"/>
        <w:ind w:firstLine="720" w:end="0"/>
        <w:jc w:val="both"/>
        <w:rPr/>
      </w:pPr>
      <w:r>
        <w:rPr>
          <w:sz w:val="22"/>
        </w:rPr>
        <w:t>(a)</w:t>
        <w:tab/>
      </w:r>
      <w:r>
        <w:rPr>
          <w:b/>
          <w:sz w:val="22"/>
        </w:rPr>
        <w:t>“Specified Entity”</w:t>
      </w:r>
      <w:r>
        <w:rPr>
          <w:sz w:val="22"/>
        </w:rPr>
        <w:t xml:space="preserve"> means in relation to Party A, none; and in relation to Party B, none.</w:t>
      </w:r>
    </w:p>
    <w:p>
      <w:pPr>
        <w:pStyle w:val="Normal"/>
        <w:spacing w:lineRule="exact" w:line="240" w:before="240" w:after="0"/>
        <w:ind w:firstLine="720" w:end="0"/>
        <w:jc w:val="both"/>
        <w:rPr/>
      </w:pPr>
      <w:r>
        <w:rPr>
          <w:sz w:val="22"/>
        </w:rPr>
        <w:t>(b)</w:t>
        <w:tab/>
        <w:t>The “</w:t>
      </w:r>
      <w:r>
        <w:rPr>
          <w:b/>
          <w:sz w:val="22"/>
        </w:rPr>
        <w:t>Cross Default”</w:t>
      </w:r>
      <w:r>
        <w:rPr>
          <w:sz w:val="22"/>
        </w:rPr>
        <w:t xml:space="preserve"> provisions of Section 5(a)(vi) will apply to Party A, and will apply to Party B.  However, the words “, or becoming capable at such time of being declared,” as they appear in Section 5(a)(vi) are hereby deleted.</w:t>
      </w:r>
    </w:p>
    <w:p>
      <w:pPr>
        <w:pStyle w:val="Normal"/>
        <w:spacing w:lineRule="exact" w:line="240" w:before="240" w:after="0"/>
        <w:ind w:start="360" w:end="0"/>
        <w:jc w:val="both"/>
        <w:rPr>
          <w:sz w:val="22"/>
        </w:rPr>
      </w:pPr>
      <w:r>
        <w:rPr>
          <w:b/>
          <w:sz w:val="22"/>
        </w:rPr>
        <w:t>“</w:t>
      </w:r>
      <w:r>
        <w:rPr>
          <w:b/>
          <w:sz w:val="22"/>
        </w:rPr>
        <w:t>Threshold Amount”</w:t>
      </w:r>
      <w:r>
        <w:rPr>
          <w:sz w:val="22"/>
        </w:rPr>
        <w:t xml:space="preserve"> means:  with respect to Party A, U.S. $100,000,000 (or its equivalent in another currency); and with respect to Party B, U.S. $100,000,000 (or its equivalent in another currency)</w:t>
      </w:r>
      <w:r>
        <w:rPr>
          <w:color w:val="000000"/>
          <w:sz w:val="22"/>
        </w:rPr>
        <w:t>.</w:t>
      </w:r>
    </w:p>
    <w:p>
      <w:pPr>
        <w:pStyle w:val="Normal"/>
        <w:spacing w:lineRule="exact" w:line="240" w:before="240" w:after="0"/>
        <w:ind w:firstLine="720" w:end="0"/>
        <w:jc w:val="both"/>
        <w:rPr/>
      </w:pPr>
      <w:r>
        <w:rPr>
          <w:sz w:val="22"/>
        </w:rPr>
        <w:t>(c)</w:t>
        <w:tab/>
        <w:t xml:space="preserve">The </w:t>
      </w:r>
      <w:r>
        <w:rPr>
          <w:b/>
          <w:sz w:val="22"/>
        </w:rPr>
        <w:t>“Credit Event Upon Merger”</w:t>
      </w:r>
      <w:r>
        <w:rPr>
          <w:sz w:val="22"/>
        </w:rPr>
        <w:t xml:space="preserve"> provisions of Section 5(b)(iv) as amended below will apply to Party A and to Party B.</w:t>
      </w:r>
    </w:p>
    <w:p>
      <w:pPr>
        <w:pStyle w:val="Normal"/>
        <w:spacing w:lineRule="exact" w:line="240" w:before="240" w:after="0"/>
        <w:ind w:firstLine="720" w:end="0"/>
        <w:jc w:val="both"/>
        <w:rPr/>
      </w:pPr>
      <w:r>
        <w:rPr>
          <w:sz w:val="22"/>
        </w:rPr>
        <w:t>(d)</w:t>
        <w:tab/>
        <w:t xml:space="preserve">The </w:t>
      </w:r>
      <w:r>
        <w:rPr>
          <w:b/>
          <w:sz w:val="22"/>
        </w:rPr>
        <w:t>“Automatic Early Termination”</w:t>
      </w:r>
      <w:r>
        <w:rPr>
          <w:sz w:val="22"/>
        </w:rPr>
        <w:t xml:space="preserve"> provision of Section 6(a) will not apply to Party A or to Party B.</w:t>
      </w:r>
    </w:p>
    <w:p>
      <w:pPr>
        <w:pStyle w:val="Normal"/>
        <w:spacing w:lineRule="exact" w:line="240" w:before="240" w:after="0"/>
        <w:ind w:firstLine="720" w:end="0"/>
        <w:jc w:val="both"/>
        <w:rPr/>
      </w:pPr>
      <w:r>
        <w:rPr>
          <w:sz w:val="22"/>
        </w:rPr>
        <w:t>(e)</w:t>
        <w:tab/>
      </w:r>
      <w:r>
        <w:rPr>
          <w:b/>
          <w:sz w:val="22"/>
        </w:rPr>
        <w:t>Payments on Early Termination.</w:t>
      </w:r>
      <w:r>
        <w:rPr>
          <w:sz w:val="22"/>
        </w:rPr>
        <w:t xml:space="preserve">  For the purpose of Section 6(e):  (i) Loss will apply, and (ii) the Second Method will apply.</w:t>
      </w:r>
    </w:p>
    <w:p>
      <w:pPr>
        <w:pStyle w:val="Normal"/>
        <w:spacing w:lineRule="exact" w:line="240" w:before="240" w:after="0"/>
        <w:ind w:firstLine="720" w:end="0"/>
        <w:jc w:val="both"/>
        <w:rPr/>
      </w:pPr>
      <w:r>
        <w:rPr>
          <w:sz w:val="22"/>
        </w:rPr>
        <w:t>(f)</w:t>
        <w:tab/>
      </w:r>
      <w:r>
        <w:rPr>
          <w:b/>
          <w:sz w:val="22"/>
        </w:rPr>
        <w:t>“Termination Currency”</w:t>
      </w:r>
      <w:r>
        <w:rPr>
          <w:sz w:val="22"/>
        </w:rPr>
        <w:t xml:space="preserve"> means United States Dollars.</w:t>
      </w:r>
    </w:p>
    <w:p>
      <w:pPr>
        <w:pStyle w:val="Normal"/>
        <w:spacing w:lineRule="exact" w:line="240" w:before="240" w:after="0"/>
        <w:ind w:firstLine="720" w:end="0"/>
        <w:jc w:val="both"/>
        <w:rPr/>
      </w:pPr>
      <w:r>
        <w:rPr>
          <w:sz w:val="22"/>
        </w:rPr>
        <w:t>(g)</w:t>
      </w:r>
      <w:r>
        <w:rPr>
          <w:b/>
          <w:sz w:val="22"/>
        </w:rPr>
        <w:tab/>
        <w:t>“Contractual Currency”</w:t>
      </w:r>
      <w:r>
        <w:rPr>
          <w:sz w:val="22"/>
        </w:rPr>
        <w:t xml:space="preserve"> unless otherwise specified in a Confirmation, shall mean United States Dollars.</w:t>
      </w:r>
    </w:p>
    <w:p>
      <w:pPr>
        <w:pStyle w:val="Normal"/>
        <w:spacing w:lineRule="exact" w:line="240" w:before="240" w:after="0"/>
        <w:ind w:firstLine="720" w:end="0"/>
        <w:jc w:val="both"/>
        <w:rPr/>
      </w:pPr>
      <w:r>
        <w:rPr>
          <w:sz w:val="22"/>
        </w:rPr>
        <w:t>(h)</w:t>
        <w:tab/>
        <w:t>Section 5(b)(iv) is hereby amended by adding the following phrase between the closing parenthesis and the semicolon at the end thereof:  “</w:t>
      </w:r>
      <w:r>
        <w:rPr>
          <w:sz w:val="22"/>
          <w:u w:val="single"/>
        </w:rPr>
        <w:t>provided</w:t>
      </w:r>
      <w:r>
        <w:rPr>
          <w:sz w:val="22"/>
        </w:rPr>
        <w:t xml:space="preserve">, </w:t>
      </w:r>
      <w:r>
        <w:rPr>
          <w:sz w:val="22"/>
          <w:u w:val="single"/>
        </w:rPr>
        <w:t>however</w:t>
      </w:r>
      <w:r>
        <w:rPr>
          <w:sz w:val="22"/>
        </w:rPr>
        <w:t>, that the foregoing action or event shall not constitute a Termination Event so long as in connection with or after such action or event X or its successor or transferee provides (or causes to be provided) to the other party (“Y”) within two Local Business Days of Y’s written demand therefor collateral in an amount satisfactory to Y in its sole discretion.”</w:t>
      </w:r>
    </w:p>
    <w:p>
      <w:pPr>
        <w:pStyle w:val="Normal"/>
        <w:keepNext w:val="true"/>
        <w:spacing w:lineRule="exact" w:line="240" w:before="480" w:after="0"/>
        <w:jc w:val="both"/>
        <w:rPr>
          <w:sz w:val="22"/>
        </w:rPr>
      </w:pPr>
      <w:r>
        <w:rPr>
          <w:b/>
          <w:sz w:val="22"/>
        </w:rPr>
        <w:t>Part 2.  Tax Representations.</w:t>
      </w:r>
    </w:p>
    <w:p>
      <w:pPr>
        <w:pStyle w:val="Normal"/>
        <w:keepNext w:val="true"/>
        <w:spacing w:lineRule="exact" w:line="240" w:before="240" w:after="0"/>
        <w:ind w:hanging="720" w:start="720" w:end="0"/>
        <w:jc w:val="both"/>
        <w:rPr/>
      </w:pPr>
      <w:r>
        <w:rPr>
          <w:b/>
          <w:sz w:val="22"/>
        </w:rPr>
        <w:t>(a)</w:t>
        <w:tab/>
        <w:t xml:space="preserve">Payer Representations.  </w:t>
      </w:r>
      <w:r>
        <w:rPr>
          <w:sz w:val="22"/>
        </w:rPr>
        <w:t>For the purpose of Section 3(e), Party A and Party B make the following representation:</w:t>
      </w:r>
    </w:p>
    <w:p>
      <w:pPr>
        <w:pStyle w:val="Normal"/>
        <w:keepNext w:val="true"/>
        <w:spacing w:lineRule="exact" w:line="240" w:before="240" w:after="0"/>
        <w:ind w:start="720" w:end="0"/>
        <w:jc w:val="both"/>
        <w:rPr/>
      </w:pPr>
      <w:r>
        <w:rPr>
          <w:sz w:val="22"/>
        </w:rPr>
        <w:t xml:space="preserve">It is not required by any applicable law, as modified by the practice of any relevant governmental revenue authority, of any Relevant Jurisdiction to make any deduction or withholding for or on account of any Tax from any payment (other than interest under Section 2(e), 6(d)(ii), or 6(e)) to be made by it to the other party under this Agreement.  In making this representation, it may rely on (i) the accuracy of any representations made by the other party pursuant to Section 3(f), (ii) the satisfaction of the agreement contained in Section 4(a)(i) or 4(a)(iii) and the accuracy and effectiveness of any document provided by the other party pursuant to Section 4(a)(i) or 4(a)(iii), and (iii) the satisfaction of the agreement of the other party contained in Section 4(d), </w:t>
      </w:r>
      <w:r>
        <w:rPr>
          <w:i/>
          <w:sz w:val="22"/>
        </w:rPr>
        <w:t>provided</w:t>
      </w:r>
      <w:r>
        <w:rPr>
          <w:sz w:val="22"/>
        </w:rPr>
        <w:t xml:space="preserve"> that it shall not be a breach of this representation where reliance is placed on Clause (ii) and the other party does not deliver a form or document under Section 4(a)(iii) by reason of material prejudice to its legal or commercial position.</w:t>
      </w:r>
    </w:p>
    <w:p>
      <w:pPr>
        <w:pStyle w:val="Normal"/>
        <w:spacing w:lineRule="exact" w:line="240" w:before="240" w:after="0"/>
        <w:ind w:hanging="720" w:start="720" w:end="0"/>
        <w:jc w:val="both"/>
        <w:rPr/>
      </w:pPr>
      <w:r>
        <w:rPr>
          <w:b/>
          <w:sz w:val="22"/>
        </w:rPr>
        <w:t>(b)</w:t>
        <w:tab/>
        <w:t>Payee Representations.</w:t>
      </w:r>
      <w:r>
        <w:rPr>
          <w:sz w:val="22"/>
        </w:rPr>
        <w:t xml:space="preserve">  For the purpose of Section 3(f), Party A and Party B make the following representations:</w:t>
      </w:r>
    </w:p>
    <w:p>
      <w:pPr>
        <w:pStyle w:val="Normal"/>
        <w:spacing w:lineRule="exact" w:line="240" w:before="240" w:after="0"/>
        <w:ind w:hanging="720" w:start="900" w:end="0"/>
        <w:jc w:val="both"/>
        <w:rPr>
          <w:sz w:val="22"/>
        </w:rPr>
      </w:pPr>
      <w:r>
        <w:rPr>
          <w:sz w:val="22"/>
        </w:rPr>
        <w:t>(i)</w:t>
        <w:tab/>
        <w:t>The following representation applies to Party A:</w:t>
      </w:r>
    </w:p>
    <w:p>
      <w:pPr>
        <w:pStyle w:val="Normal"/>
        <w:spacing w:lineRule="exact" w:line="240" w:before="240" w:after="0"/>
        <w:ind w:start="900" w:end="0"/>
        <w:jc w:val="both"/>
        <w:rPr>
          <w:sz w:val="22"/>
        </w:rPr>
      </w:pPr>
      <w:r>
        <w:rPr>
          <w:sz w:val="22"/>
        </w:rPr>
        <w:t>Party A is a corporation organized under the laws of the State of Oregon.</w:t>
      </w:r>
    </w:p>
    <w:p>
      <w:pPr>
        <w:pStyle w:val="Normal"/>
        <w:spacing w:lineRule="exact" w:line="240" w:before="240" w:after="0"/>
        <w:ind w:hanging="720" w:start="900" w:end="0"/>
        <w:jc w:val="both"/>
        <w:rPr>
          <w:sz w:val="22"/>
        </w:rPr>
      </w:pPr>
      <w:r>
        <w:rPr>
          <w:sz w:val="22"/>
        </w:rPr>
        <w:t>(ii)</w:t>
        <w:tab/>
        <w:t>The following representation applies to Party B:</w:t>
      </w:r>
    </w:p>
    <w:p>
      <w:pPr>
        <w:pStyle w:val="Normal"/>
        <w:spacing w:lineRule="exact" w:line="262"/>
        <w:jc w:val="both"/>
        <w:rPr>
          <w:sz w:val="22"/>
        </w:rPr>
      </w:pPr>
      <w:r>
        <w:rPr>
          <w:sz w:val="22"/>
        </w:rPr>
      </w:r>
    </w:p>
    <w:p>
      <w:pPr>
        <w:pStyle w:val="Normal"/>
        <w:spacing w:lineRule="exact" w:line="262"/>
        <w:ind w:start="900" w:end="0"/>
        <w:jc w:val="both"/>
        <w:rPr>
          <w:sz w:val="22"/>
        </w:rPr>
      </w:pPr>
      <w:r>
        <w:rPr>
          <w:sz w:val="22"/>
        </w:rPr>
        <w:t>Party B is a national banking association organized under the laws of the United States of America and is a United States resident for United States federal income tax purposes.</w:t>
      </w:r>
    </w:p>
    <w:p>
      <w:pPr>
        <w:pStyle w:val="Normal"/>
        <w:spacing w:lineRule="exact" w:line="240" w:before="240" w:after="0"/>
        <w:jc w:val="both"/>
        <w:rPr>
          <w:sz w:val="22"/>
        </w:rPr>
      </w:pPr>
      <w:r>
        <w:rPr>
          <w:sz w:val="22"/>
        </w:rPr>
      </w:r>
    </w:p>
    <w:p>
      <w:pPr>
        <w:pStyle w:val="Normal"/>
        <w:spacing w:lineRule="exact" w:line="240" w:before="240" w:after="0"/>
        <w:jc w:val="both"/>
        <w:rPr>
          <w:sz w:val="22"/>
        </w:rPr>
      </w:pPr>
      <w:r>
        <w:rPr>
          <w:b/>
          <w:sz w:val="22"/>
        </w:rPr>
        <w:t>Part 3.  Agreement to Deliver Documents.</w:t>
      </w:r>
    </w:p>
    <w:p>
      <w:pPr>
        <w:pStyle w:val="Normal"/>
        <w:spacing w:lineRule="exact" w:line="240" w:before="240" w:after="0"/>
        <w:ind w:firstLine="720" w:end="0"/>
        <w:jc w:val="both"/>
        <w:rPr>
          <w:color w:val="000000"/>
          <w:sz w:val="22"/>
        </w:rPr>
      </w:pPr>
      <w:r>
        <w:rPr>
          <w:sz w:val="22"/>
        </w:rPr>
        <w:t>For the purpose of Section 4(a), each party agrees to deliver the following documents, as applicable:</w:t>
      </w:r>
    </w:p>
    <w:p>
      <w:pPr>
        <w:pStyle w:val="Normal"/>
        <w:tabs>
          <w:tab w:val="clear" w:pos="720"/>
          <w:tab w:val="left" w:pos="990" w:leader="none"/>
        </w:tabs>
        <w:spacing w:lineRule="exact" w:line="240" w:before="240" w:after="0"/>
        <w:jc w:val="both"/>
        <w:rPr>
          <w:sz w:val="22"/>
        </w:rPr>
      </w:pPr>
      <w:r>
        <w:rPr>
          <w:sz w:val="22"/>
        </w:rPr>
        <w:t>(a)</w:t>
        <w:tab/>
        <w:t>Tax forms, documents, or certificates to be delivered are:  United States Internal Revenue Service Form W</w:t>
        <w:noBreakHyphen/>
        <w:t>9.</w:t>
      </w:r>
    </w:p>
    <w:p>
      <w:pPr>
        <w:pStyle w:val="Normal"/>
        <w:spacing w:lineRule="exact" w:line="240" w:before="240" w:after="0"/>
        <w:jc w:val="both"/>
        <w:rPr/>
      </w:pPr>
      <w:r>
        <w:rPr>
          <w:color w:val="FF0000"/>
          <w:sz w:val="22"/>
        </w:rPr>
        <w:t xml:space="preserve"> </w:t>
      </w:r>
      <w:r>
        <w:rPr/>
        <w:t>(b)</w:t>
        <w:tab/>
        <w:t>Other documents to be delivered are:</w:t>
      </w:r>
    </w:p>
    <w:tbl>
      <w:tblPr>
        <w:tblW w:w="9936" w:type="dxa"/>
        <w:jc w:val="start"/>
        <w:tblInd w:w="0" w:type="dxa"/>
        <w:tblLayout w:type="fixed"/>
        <w:tblCellMar>
          <w:top w:w="0" w:type="dxa"/>
          <w:start w:w="216" w:type="dxa"/>
          <w:bottom w:w="0" w:type="dxa"/>
          <w:end w:w="216" w:type="dxa"/>
        </w:tblCellMar>
      </w:tblPr>
      <w:tblGrid>
        <w:gridCol w:w="1837"/>
        <w:gridCol w:w="3886"/>
        <w:gridCol w:w="2228"/>
        <w:gridCol w:w="1985"/>
      </w:tblGrid>
      <w:tr>
        <w:trPr>
          <w:tblHeader w:val="true"/>
        </w:trPr>
        <w:tc>
          <w:tcPr>
            <w:tcW w:w="1837" w:type="dxa"/>
            <w:tcBorders/>
            <w:vAlign w:val="bottom"/>
          </w:tcPr>
          <w:p>
            <w:pPr>
              <w:pStyle w:val="Normal"/>
              <w:spacing w:lineRule="atLeast" w:line="240" w:before="240" w:after="0"/>
              <w:rPr>
                <w:sz w:val="22"/>
              </w:rPr>
            </w:pPr>
            <w:r>
              <w:rPr>
                <w:b/>
                <w:sz w:val="22"/>
              </w:rPr>
              <w:t xml:space="preserve">Party required to deliver </w:t>
            </w:r>
            <w:r>
              <w:rPr>
                <w:b/>
                <w:sz w:val="22"/>
                <w:u w:val="single"/>
              </w:rPr>
              <w:t>document</w:t>
            </w:r>
          </w:p>
        </w:tc>
        <w:tc>
          <w:tcPr>
            <w:tcW w:w="3886" w:type="dxa"/>
            <w:tcBorders/>
            <w:vAlign w:val="bottom"/>
          </w:tcPr>
          <w:p>
            <w:pPr>
              <w:pStyle w:val="Normal"/>
              <w:spacing w:lineRule="atLeast" w:line="240" w:before="240" w:after="0"/>
              <w:rPr>
                <w:sz w:val="22"/>
                <w:u w:val="single"/>
              </w:rPr>
            </w:pPr>
            <w:r>
              <w:rPr>
                <w:b/>
                <w:sz w:val="22"/>
                <w:u w:val="single"/>
              </w:rPr>
              <w:t>Form/Document/Certificate</w:t>
            </w:r>
          </w:p>
        </w:tc>
        <w:tc>
          <w:tcPr>
            <w:tcW w:w="2228" w:type="dxa"/>
            <w:tcBorders/>
            <w:vAlign w:val="bottom"/>
          </w:tcPr>
          <w:p>
            <w:pPr>
              <w:pStyle w:val="Normal"/>
              <w:spacing w:lineRule="atLeast" w:line="240" w:before="240" w:after="0"/>
              <w:rPr>
                <w:sz w:val="22"/>
              </w:rPr>
            </w:pPr>
            <w:r>
              <w:rPr>
                <w:b/>
                <w:sz w:val="22"/>
              </w:rPr>
              <w:t xml:space="preserve">Date by which to </w:t>
            </w:r>
            <w:r>
              <w:rPr>
                <w:b/>
                <w:sz w:val="22"/>
                <w:u w:val="single"/>
              </w:rPr>
              <w:t>be delivered</w:t>
            </w:r>
          </w:p>
        </w:tc>
        <w:tc>
          <w:tcPr>
            <w:tcW w:w="1985" w:type="dxa"/>
            <w:tcBorders/>
            <w:vAlign w:val="bottom"/>
          </w:tcPr>
          <w:p>
            <w:pPr>
              <w:pStyle w:val="Normal"/>
              <w:spacing w:lineRule="atLeast" w:line="240" w:before="240" w:after="0"/>
              <w:jc w:val="center"/>
              <w:rPr>
                <w:sz w:val="22"/>
              </w:rPr>
            </w:pPr>
            <w:r>
              <w:rPr>
                <w:b/>
                <w:sz w:val="22"/>
              </w:rPr>
              <w:t xml:space="preserve">Covered by Section 3(d) </w:t>
            </w:r>
            <w:r>
              <w:rPr>
                <w:b/>
                <w:sz w:val="22"/>
                <w:u w:val="single"/>
              </w:rPr>
              <w:t>Representation</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Times New Roman" w:hAnsi="Times New Roman;Times New Roman" w:cs="Times New Roman;Times New Roman"/>
              </w:rPr>
            </w:pPr>
            <w:r>
              <w:rPr>
                <w:rFonts w:cs="Times New Roman;Times New Roman" w:ascii="Times New Roman;Times New Roman" w:hAnsi="Times New Roman;Times New Roman"/>
              </w:rPr>
              <w:t>Duly executed tax forms, documents, or certificates referenced in Part 3(a) above</w:t>
            </w:r>
          </w:p>
        </w:tc>
        <w:tc>
          <w:tcPr>
            <w:tcW w:w="2228" w:type="dxa"/>
            <w:tcBorders/>
          </w:tcPr>
          <w:p>
            <w:pPr>
              <w:pStyle w:val="Normal"/>
              <w:spacing w:lineRule="atLeast" w:line="240" w:before="240" w:after="0"/>
              <w:jc w:val="both"/>
              <w:rPr>
                <w:sz w:val="22"/>
              </w:rPr>
            </w:pPr>
            <w:r>
              <w:rPr>
                <w:sz w:val="22"/>
              </w:rPr>
              <w:t>At execution of this Master Agreement and as otherwise provided in Part 3(a) above</w:t>
            </w:r>
          </w:p>
        </w:tc>
        <w:tc>
          <w:tcPr>
            <w:tcW w:w="1985" w:type="dxa"/>
            <w:tcBorders/>
          </w:tcPr>
          <w:p>
            <w:pPr>
              <w:pStyle w:val="Justified"/>
              <w:widowControl/>
              <w:spacing w:lineRule="atLeast" w:line="240" w:before="240" w:after="0"/>
              <w:jc w:val="center"/>
              <w:rPr>
                <w:rFonts w:ascii="Times New Roman;Times New Roman" w:hAnsi="Times New Roman;Times New Roman" w:cs="Times New Roman;Times New Roman"/>
              </w:rPr>
            </w:pPr>
            <w:r>
              <w:rPr>
                <w:rFonts w:cs="Times New Roman;Times New Roman" w:ascii="Times New Roman;Times New Roman" w:hAnsi="Times New Roman;Times New Roman"/>
              </w:rPr>
              <w:t>Yes</w:t>
            </w:r>
          </w:p>
        </w:tc>
      </w:tr>
      <w:tr>
        <w:trPr/>
        <w:tc>
          <w:tcPr>
            <w:tcW w:w="1837" w:type="dxa"/>
            <w:tcBorders/>
          </w:tcPr>
          <w:p>
            <w:pPr>
              <w:pStyle w:val="Normal"/>
              <w:spacing w:lineRule="atLeast" w:line="240" w:before="240" w:after="0"/>
              <w:jc w:val="both"/>
              <w:rPr>
                <w:sz w:val="22"/>
              </w:rPr>
            </w:pPr>
            <w:r>
              <w:rPr>
                <w:sz w:val="22"/>
              </w:rPr>
              <w:t>Party A and Party B</w:t>
            </w:r>
          </w:p>
        </w:tc>
        <w:tc>
          <w:tcPr>
            <w:tcW w:w="3886" w:type="dxa"/>
            <w:tcBorders/>
          </w:tcPr>
          <w:p>
            <w:pPr>
              <w:pStyle w:val="Justified"/>
              <w:widowControl/>
              <w:spacing w:lineRule="atLeast" w:line="240" w:before="240" w:after="0"/>
              <w:rPr>
                <w:rFonts w:ascii="Times New Roman;Times New Roman" w:hAnsi="Times New Roman;Times New Roman" w:cs="Times New Roman;Times New Roman"/>
                <w:b/>
              </w:rPr>
            </w:pPr>
            <w:r>
              <w:rPr>
                <w:rFonts w:cs="Times New Roman;Times New Roman" w:ascii="Times New Roman;Times New Roman" w:hAnsi="Times New Roman;Times New Roman"/>
              </w:rPr>
              <w:t>Evidence of authority and specimen signatures with respect to the party’s signatories executing this Agreement or any Credit Support Document</w:t>
            </w:r>
          </w:p>
        </w:tc>
        <w:tc>
          <w:tcPr>
            <w:tcW w:w="2228" w:type="dxa"/>
            <w:tcBorders/>
          </w:tcPr>
          <w:p>
            <w:pPr>
              <w:pStyle w:val="Normal"/>
              <w:spacing w:lineRule="atLeast" w:line="240" w:before="240" w:after="0"/>
              <w:jc w:val="both"/>
              <w:rPr>
                <w:b/>
                <w:sz w:val="22"/>
              </w:rPr>
            </w:pPr>
            <w:r>
              <w:rPr>
                <w:sz w:val="22"/>
              </w:rPr>
              <w:t>At execution of this Master Agreement</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Annual Audited Consolidated Financial Statement of Party A certified by independent public accountants</w:t>
            </w:r>
          </w:p>
        </w:tc>
        <w:tc>
          <w:tcPr>
            <w:tcW w:w="2228" w:type="dxa"/>
            <w:tcBorders/>
          </w:tcPr>
          <w:p>
            <w:pPr>
              <w:pStyle w:val="Justified"/>
              <w:widowControl/>
              <w:spacing w:lineRule="atLeast" w:line="240" w:before="240" w:after="0"/>
              <w:jc w:val="start"/>
              <w:rPr>
                <w:rFonts w:ascii="Times New Roman;Times New Roman" w:hAnsi="Times New Roman;Times New Roman" w:cs="Times New Roman;Times New Roman"/>
                <w:b/>
              </w:rPr>
            </w:pPr>
            <w:r>
              <w:rPr>
                <w:rFonts w:cs="Times New Roman;Times New Roman" w:ascii="Times New Roman;Times New Roman" w:hAnsi="Times New Roman;Times New Roman"/>
              </w:rPr>
              <w:t>Promptly following demand by Party B, but in no event later than 120 days after the end of each fiscal year of Party A if such Financial Statement is not available on “EDGAR” or Party A’s home page on the World Wide Web at www.enron.com</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Normal"/>
              <w:spacing w:lineRule="atLeast" w:line="240" w:before="240" w:after="0"/>
              <w:jc w:val="both"/>
              <w:rPr>
                <w:sz w:val="22"/>
              </w:rPr>
            </w:pPr>
            <w:r>
              <w:rPr>
                <w:sz w:val="22"/>
              </w:rPr>
              <w:t>Party A</w:t>
            </w:r>
          </w:p>
        </w:tc>
        <w:tc>
          <w:tcPr>
            <w:tcW w:w="3886" w:type="dxa"/>
            <w:tcBorders/>
          </w:tcPr>
          <w:p>
            <w:pPr>
              <w:pStyle w:val="Normal"/>
              <w:spacing w:lineRule="atLeast" w:line="240" w:before="240" w:after="0"/>
              <w:jc w:val="both"/>
              <w:rPr>
                <w:b/>
                <w:sz w:val="22"/>
              </w:rPr>
            </w:pPr>
            <w:r>
              <w:rPr>
                <w:sz w:val="22"/>
              </w:rPr>
              <w:t>Quarterly Unaudited Consolidated Financial Statement of Party A</w:t>
            </w:r>
          </w:p>
        </w:tc>
        <w:tc>
          <w:tcPr>
            <w:tcW w:w="2228" w:type="dxa"/>
            <w:tcBorders/>
          </w:tcPr>
          <w:p>
            <w:pPr>
              <w:pStyle w:val="Justified"/>
              <w:widowControl/>
              <w:spacing w:lineRule="atLeast" w:line="240" w:before="240" w:after="0"/>
              <w:jc w:val="start"/>
              <w:rPr/>
            </w:pPr>
            <w:r>
              <w:rPr>
                <w:rFonts w:cs="Times New Roman;Times New Roman" w:ascii="Times New Roman;Times New Roman" w:hAnsi="Times New Roman;Times New Roman"/>
              </w:rPr>
              <w:t>Promptly following demand by Party B, but in no event later than 60 days after the end of each of the first three fiscal quarters of each fiscal year of Party A if such Financial Statement is not available on “EDGAR” or Party A’s home page on the World Wide Web at www.enron.com</w:t>
            </w:r>
            <w:r>
              <w:rPr>
                <w:rFonts w:cs="Times New Roman;Times New Roman" w:ascii="Times New Roman;Times New Roman" w:hAnsi="Times New Roman;Times New Roman"/>
                <w:b/>
              </w:rPr>
              <w:t xml:space="preserve"> </w:t>
            </w:r>
          </w:p>
        </w:tc>
        <w:tc>
          <w:tcPr>
            <w:tcW w:w="1985" w:type="dxa"/>
            <w:tcBorders/>
          </w:tcPr>
          <w:p>
            <w:pPr>
              <w:pStyle w:val="Normal"/>
              <w:spacing w:lineRule="atLeast" w:line="240" w:before="240" w:after="0"/>
              <w:jc w:val="center"/>
              <w:rPr>
                <w:b/>
                <w:sz w:val="22"/>
              </w:rPr>
            </w:pPr>
            <w:r>
              <w:rPr>
                <w:sz w:val="22"/>
              </w:rPr>
              <w:t>Yes</w:t>
            </w:r>
          </w:p>
        </w:tc>
      </w:tr>
      <w:tr>
        <w:trPr/>
        <w:tc>
          <w:tcPr>
            <w:tcW w:w="1837" w:type="dxa"/>
            <w:tcBorders/>
          </w:tcPr>
          <w:p>
            <w:pPr>
              <w:pStyle w:val="Justified"/>
              <w:widowControl/>
              <w:snapToGrid w:val="false"/>
              <w:spacing w:lineRule="atLeast" w:line="240" w:before="240" w:after="0"/>
              <w:rPr>
                <w:rFonts w:ascii="Times New Roman;Times New Roman" w:hAnsi="Times New Roman;Times New Roman" w:cs="Times New Roman;Times New Roman"/>
                <w:b/>
                <w:sz w:val="22"/>
              </w:rPr>
            </w:pPr>
            <w:r>
              <w:rPr>
                <w:rFonts w:cs="Times New Roman;Times New Roman" w:ascii="Times New Roman;Times New Roman" w:hAnsi="Times New Roman;Times New Roman"/>
                <w:b/>
                <w:sz w:val="22"/>
              </w:rPr>
            </w:r>
          </w:p>
        </w:tc>
        <w:tc>
          <w:tcPr>
            <w:tcW w:w="3886" w:type="dxa"/>
            <w:tcBorders/>
          </w:tcPr>
          <w:p>
            <w:pPr>
              <w:pStyle w:val="Normal"/>
              <w:snapToGrid w:val="false"/>
              <w:spacing w:lineRule="atLeast" w:line="240" w:before="240" w:after="0"/>
              <w:jc w:val="both"/>
              <w:rPr>
                <w:rFonts w:ascii="Times New Roman;Times New Roman" w:hAnsi="Times New Roman;Times New Roman" w:cs="Times New Roman;Times New Roman"/>
                <w:sz w:val="22"/>
              </w:rPr>
            </w:pPr>
            <w:r>
              <w:rPr>
                <w:rFonts w:cs="Times New Roman;Times New Roman"/>
                <w:sz w:val="22"/>
              </w:rPr>
            </w:r>
          </w:p>
        </w:tc>
        <w:tc>
          <w:tcPr>
            <w:tcW w:w="2228" w:type="dxa"/>
            <w:tcBorders/>
          </w:tcPr>
          <w:p>
            <w:pPr>
              <w:pStyle w:val="Justified"/>
              <w:widowControl/>
              <w:snapToGrid w:val="false"/>
              <w:spacing w:lineRule="atLeast" w:line="240" w:before="240" w:after="0"/>
              <w:jc w:val="start"/>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tc>
        <w:tc>
          <w:tcPr>
            <w:tcW w:w="1985" w:type="dxa"/>
            <w:tcBorders/>
          </w:tcPr>
          <w:p>
            <w:pPr>
              <w:pStyle w:val="Justified"/>
              <w:widowControl/>
              <w:snapToGrid w:val="false"/>
              <w:spacing w:lineRule="atLeast" w:line="240" w:before="240" w:after="0"/>
              <w:jc w:val="center"/>
              <w:rPr>
                <w:rFonts w:ascii="Times New Roman;Times New Roman" w:hAnsi="Times New Roman;Times New Roman" w:cs="Times New Roman;Times New Roman"/>
              </w:rPr>
            </w:pPr>
            <w:r>
              <w:rPr>
                <w:rFonts w:cs="Times New Roman;Times New Roman" w:ascii="Times New Roman;Times New Roman" w:hAnsi="Times New Roman;Times New Roman"/>
              </w:rPr>
            </w:r>
          </w:p>
        </w:tc>
      </w:tr>
      <w:tr>
        <w:trPr/>
        <w:tc>
          <w:tcPr>
            <w:tcW w:w="1837" w:type="dxa"/>
            <w:tcBorders/>
          </w:tcPr>
          <w:p>
            <w:pPr>
              <w:pStyle w:val="Normal"/>
              <w:spacing w:lineRule="atLeast" w:line="240" w:before="240" w:after="0"/>
              <w:jc w:val="both"/>
              <w:rPr>
                <w:sz w:val="22"/>
              </w:rPr>
            </w:pPr>
            <w:r>
              <w:rPr>
                <w:sz w:val="22"/>
              </w:rPr>
              <w:t>Party B</w:t>
            </w:r>
          </w:p>
        </w:tc>
        <w:tc>
          <w:tcPr>
            <w:tcW w:w="3886" w:type="dxa"/>
            <w:tcBorders/>
          </w:tcPr>
          <w:p>
            <w:pPr>
              <w:pStyle w:val="Normal"/>
              <w:spacing w:lineRule="atLeast" w:line="240" w:before="240" w:after="0"/>
              <w:jc w:val="both"/>
              <w:rPr>
                <w:sz w:val="22"/>
              </w:rPr>
            </w:pPr>
            <w:r>
              <w:rPr>
                <w:sz w:val="22"/>
              </w:rPr>
              <w:t>Quarterly call reports of Party B</w:t>
            </w:r>
          </w:p>
        </w:tc>
        <w:tc>
          <w:tcPr>
            <w:tcW w:w="2228" w:type="dxa"/>
            <w:tcBorders/>
          </w:tcPr>
          <w:p>
            <w:pPr>
              <w:pStyle w:val="Normal"/>
              <w:spacing w:lineRule="atLeast" w:line="240" w:before="240" w:after="0"/>
              <w:rPr>
                <w:sz w:val="22"/>
              </w:rPr>
            </w:pPr>
            <w:r>
              <w:rPr>
                <w:sz w:val="22"/>
              </w:rPr>
              <w:t>Promptly following demand by Party A, but in no event later than 60 days after the end of each of the first three fiscal quarters of each fiscal year of Party B if such call report is not available at www.fdic.gov</w:t>
            </w:r>
          </w:p>
        </w:tc>
        <w:tc>
          <w:tcPr>
            <w:tcW w:w="1985" w:type="dxa"/>
            <w:tcBorders/>
          </w:tcPr>
          <w:p>
            <w:pPr>
              <w:pStyle w:val="Normal"/>
              <w:spacing w:lineRule="atLeast" w:line="240" w:before="240" w:after="0"/>
              <w:jc w:val="center"/>
              <w:rPr>
                <w:sz w:val="22"/>
              </w:rPr>
            </w:pPr>
            <w:r>
              <w:rPr>
                <w:sz w:val="22"/>
              </w:rPr>
              <w:t>Yes</w:t>
            </w:r>
          </w:p>
        </w:tc>
      </w:tr>
    </w:tbl>
    <w:p>
      <w:pPr>
        <w:pStyle w:val="Normal"/>
        <w:spacing w:lineRule="exact" w:line="240" w:before="480" w:after="0"/>
        <w:jc w:val="both"/>
        <w:rPr>
          <w:b/>
          <w:sz w:val="22"/>
        </w:rPr>
      </w:pPr>
      <w:r>
        <w:rPr>
          <w:b/>
          <w:sz w:val="22"/>
        </w:rPr>
        <w:t>Part 4.  Miscellaneous.</w:t>
      </w:r>
    </w:p>
    <w:p>
      <w:pPr>
        <w:pStyle w:val="Normal"/>
        <w:spacing w:lineRule="exact" w:line="240" w:before="240" w:after="0"/>
        <w:ind w:firstLine="720" w:end="0"/>
        <w:jc w:val="both"/>
        <w:rPr/>
      </w:pPr>
      <w:r>
        <w:rPr>
          <w:sz w:val="22"/>
        </w:rPr>
        <w:t>(a)</w:t>
        <w:tab/>
      </w:r>
      <w:r>
        <w:rPr>
          <w:b/>
          <w:sz w:val="22"/>
        </w:rPr>
        <w:t>Addresses for Notices.</w:t>
      </w:r>
      <w:r>
        <w:rPr>
          <w:sz w:val="22"/>
        </w:rPr>
        <w:t xml:space="preserve">  Section 12(a) is hereby amended to delete the following phrase from the second and third line thereof:  “(except that a notice or other communication under Section 5 or 6 may not be given by facsimile transmission or electronic messaging system)”.  For the purpose of Section 12(a) of this Agreement:</w:t>
      </w:r>
    </w:p>
    <w:p>
      <w:pPr>
        <w:pStyle w:val="Normal"/>
        <w:spacing w:lineRule="exact" w:line="240" w:before="240" w:after="0"/>
        <w:ind w:hanging="720" w:start="720" w:end="0"/>
        <w:jc w:val="both"/>
        <w:rPr>
          <w:sz w:val="22"/>
        </w:rPr>
      </w:pPr>
      <w:r>
        <w:rPr>
          <w:sz w:val="22"/>
        </w:rPr>
        <w:t>Address for notices or communications to Party A:</w:t>
      </w:r>
    </w:p>
    <w:tbl>
      <w:tblPr>
        <w:tblW w:w="6228" w:type="dxa"/>
        <w:jc w:val="start"/>
        <w:tblInd w:w="0" w:type="dxa"/>
        <w:tblLayout w:type="fixed"/>
        <w:tblCellMar>
          <w:top w:w="0" w:type="dxa"/>
          <w:start w:w="108" w:type="dxa"/>
          <w:bottom w:w="0" w:type="dxa"/>
          <w:end w:w="108" w:type="dxa"/>
        </w:tblCellMar>
      </w:tblPr>
      <w:tblGrid>
        <w:gridCol w:w="2088"/>
        <w:gridCol w:w="414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p>
          <w:p>
            <w:pPr>
              <w:pStyle w:val="Normal"/>
              <w:tabs>
                <w:tab w:val="left" w:pos="720" w:leader="none"/>
                <w:tab w:val="right" w:pos="9360" w:leader="dot"/>
              </w:tabs>
              <w:spacing w:lineRule="exact" w:line="240"/>
              <w:jc w:val="both"/>
              <w:rPr>
                <w:sz w:val="22"/>
              </w:rPr>
            </w:pPr>
            <w:r>
              <w:rPr>
                <w:sz w:val="22"/>
              </w:rPr>
            </w:r>
          </w:p>
        </w:tc>
        <w:tc>
          <w:tcPr>
            <w:tcW w:w="4140" w:type="dxa"/>
            <w:tcBorders/>
          </w:tcPr>
          <w:p>
            <w:pPr>
              <w:pStyle w:val="Normal"/>
              <w:tabs>
                <w:tab w:val="clear" w:pos="720"/>
                <w:tab w:val="left" w:pos="4230" w:leader="none"/>
                <w:tab w:val="left" w:pos="9360" w:leader="none"/>
              </w:tabs>
              <w:spacing w:lineRule="exact" w:line="240"/>
              <w:jc w:val="both"/>
              <w:rPr>
                <w:sz w:val="22"/>
              </w:rPr>
            </w:pPr>
            <w:r>
              <w:rPr>
                <w:sz w:val="22"/>
              </w:rPr>
              <w:t>Enron Corp.</w:t>
            </w:r>
          </w:p>
          <w:p>
            <w:pPr>
              <w:pStyle w:val="Normal"/>
              <w:tabs>
                <w:tab w:val="clear" w:pos="720"/>
                <w:tab w:val="left" w:pos="4230" w:leader="none"/>
                <w:tab w:val="left" w:pos="9360" w:leader="none"/>
              </w:tabs>
              <w:spacing w:lineRule="exact" w:line="240"/>
              <w:jc w:val="both"/>
              <w:rPr>
                <w:sz w:val="22"/>
              </w:rPr>
            </w:pPr>
            <w:r>
              <w:rPr>
                <w:sz w:val="22"/>
              </w:rPr>
              <w:t>P.O. Box 4428</w:t>
            </w:r>
          </w:p>
          <w:p>
            <w:pPr>
              <w:pStyle w:val="Normal"/>
              <w:tabs>
                <w:tab w:val="clear" w:pos="720"/>
                <w:tab w:val="left" w:pos="4230" w:leader="none"/>
                <w:tab w:val="left" w:pos="9360" w:leader="none"/>
              </w:tabs>
              <w:spacing w:lineRule="exact" w:line="240"/>
              <w:jc w:val="both"/>
              <w:rPr>
                <w:sz w:val="22"/>
              </w:rPr>
            </w:pPr>
            <w:r>
              <w:rPr>
                <w:sz w:val="22"/>
              </w:rPr>
              <w:t>Houston, Texas 77210-4428</w:t>
            </w:r>
          </w:p>
          <w:p>
            <w:pPr>
              <w:pStyle w:val="Normal"/>
              <w:tabs>
                <w:tab w:val="clear" w:pos="720"/>
                <w:tab w:val="left" w:pos="4230" w:leader="none"/>
                <w:tab w:val="left" w:pos="9360" w:leader="none"/>
              </w:tabs>
              <w:spacing w:lineRule="exact" w:line="240"/>
              <w:jc w:val="both"/>
              <w:rPr>
                <w:sz w:val="22"/>
              </w:rPr>
            </w:pPr>
            <w:r>
              <w:rPr>
                <w:sz w:val="22"/>
              </w:rPr>
              <w:t>1400 Smith Street</w:t>
            </w:r>
          </w:p>
          <w:p>
            <w:pPr>
              <w:pStyle w:val="Normal"/>
              <w:tabs>
                <w:tab w:val="clear" w:pos="720"/>
                <w:tab w:val="left" w:pos="4230" w:leader="none"/>
                <w:tab w:val="left" w:pos="9360" w:leader="none"/>
              </w:tabs>
              <w:spacing w:lineRule="exact" w:line="240"/>
              <w:jc w:val="both"/>
              <w:rPr>
                <w:sz w:val="22"/>
              </w:rPr>
            </w:pPr>
            <w:r>
              <w:rPr>
                <w:sz w:val="22"/>
              </w:rPr>
              <w:t>Houston, Texas 77002</w:t>
            </w:r>
          </w:p>
          <w:p>
            <w:pPr>
              <w:pStyle w:val="Justified"/>
              <w:widowControl/>
              <w:tabs>
                <w:tab w:val="clear" w:pos="720"/>
                <w:tab w:val="left" w:pos="4230" w:leader="none"/>
                <w:tab w:val="left" w:pos="9360" w:leader="none"/>
              </w:tabs>
              <w:spacing w:lineRule="exact" w:line="240"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Attn:  Enron Corp. Treasurer</w:t>
            </w:r>
          </w:p>
        </w:tc>
      </w:tr>
    </w:tbl>
    <w:p>
      <w:pPr>
        <w:pStyle w:val="Normal"/>
        <w:tabs>
          <w:tab w:val="clear" w:pos="720"/>
          <w:tab w:val="right" w:pos="9360" w:leader="dot"/>
        </w:tabs>
        <w:spacing w:lineRule="exact" w:line="240" w:before="240" w:after="0"/>
        <w:jc w:val="both"/>
        <w:rPr>
          <w:sz w:val="22"/>
        </w:rPr>
      </w:pPr>
      <w:r>
        <w:rPr>
          <w:sz w:val="22"/>
        </w:rPr>
        <w:t>A copy of any notice sent to Party A pursuant to Section 5 or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rPr>
      </w:pPr>
      <w:r>
        <w:rPr>
          <w:sz w:val="22"/>
        </w:rPr>
      </w:r>
    </w:p>
    <w:p>
      <w:pPr>
        <w:pStyle w:val="Normal"/>
        <w:keepNext w:val="true"/>
        <w:tabs>
          <w:tab w:val="left" w:pos="720" w:leader="none"/>
          <w:tab w:val="right" w:pos="9360" w:leader="dot"/>
        </w:tabs>
        <w:spacing w:lineRule="exact" w:line="240"/>
        <w:ind w:hanging="720" w:start="720" w:end="0"/>
        <w:jc w:val="both"/>
        <w:rPr>
          <w:sz w:val="22"/>
        </w:rPr>
      </w:pPr>
      <w:r>
        <w:rPr>
          <w:sz w:val="22"/>
        </w:rPr>
        <w:t>Address for notices or communications to Party B:</w:t>
      </w:r>
    </w:p>
    <w:p>
      <w:pPr>
        <w:pStyle w:val="Normal"/>
        <w:keepNext w:val="true"/>
        <w:tabs>
          <w:tab w:val="left" w:pos="720" w:leader="none"/>
          <w:tab w:val="right" w:pos="9360" w:leader="dot"/>
        </w:tabs>
        <w:spacing w:lineRule="exact" w:line="240"/>
        <w:ind w:hanging="720" w:start="720" w:end="0"/>
        <w:jc w:val="both"/>
        <w:rPr>
          <w:sz w:val="22"/>
        </w:rPr>
      </w:pPr>
      <w:r>
        <w:rPr>
          <w:sz w:val="22"/>
        </w:rPr>
      </w:r>
    </w:p>
    <w:tbl>
      <w:tblPr>
        <w:tblW w:w="10358" w:type="dxa"/>
        <w:jc w:val="start"/>
        <w:tblInd w:w="0" w:type="dxa"/>
        <w:tblLayout w:type="fixed"/>
        <w:tblCellMar>
          <w:top w:w="0" w:type="dxa"/>
          <w:start w:w="108" w:type="dxa"/>
          <w:bottom w:w="0" w:type="dxa"/>
          <w:end w:w="108" w:type="dxa"/>
        </w:tblCellMar>
      </w:tblPr>
      <w:tblGrid>
        <w:gridCol w:w="2178"/>
        <w:gridCol w:w="4090"/>
        <w:gridCol w:w="40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 xml:space="preserve">Address: </w:t>
            </w:r>
          </w:p>
          <w:p>
            <w:pPr>
              <w:pStyle w:val="Normal"/>
              <w:keepNext w:val="true"/>
              <w:tabs>
                <w:tab w:val="clear" w:pos="720"/>
                <w:tab w:val="left" w:pos="2880" w:leader="none"/>
                <w:tab w:val="left" w:pos="9360" w:leader="none"/>
              </w:tabs>
              <w:spacing w:lineRule="atLeast" w:line="240"/>
              <w:jc w:val="both"/>
              <w:rPr>
                <w:sz w:val="22"/>
              </w:rPr>
            </w:pPr>
            <w:r>
              <w:rPr>
                <w:sz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rPr>
            </w:pPr>
            <w:r>
              <w:rPr>
                <w:sz w:val="22"/>
              </w:rPr>
              <w:t>(for courier delivery)</w:t>
            </w:r>
            <w:r>
              <w:rPr>
                <w:sz w:val="22"/>
                <w:u w:val="single"/>
              </w:rPr>
              <w:t xml:space="preserve"> </w:t>
            </w:r>
          </w:p>
          <w:p>
            <w:pPr>
              <w:pStyle w:val="Normal"/>
              <w:keepNext w:val="true"/>
              <w:tabs>
                <w:tab w:val="left" w:pos="720" w:leader="none"/>
                <w:tab w:val="right" w:pos="9360" w:leader="dot"/>
              </w:tabs>
              <w:spacing w:lineRule="exact" w:line="240"/>
              <w:jc w:val="both"/>
              <w:rPr>
                <w:sz w:val="22"/>
              </w:rPr>
            </w:pPr>
            <w:r>
              <w:rPr>
                <w:sz w:val="22"/>
              </w:rPr>
            </w:r>
          </w:p>
        </w:tc>
        <w:tc>
          <w:tcPr>
            <w:tcW w:w="4090" w:type="dxa"/>
            <w:tcBorders/>
          </w:tcPr>
          <w:p>
            <w:pPr>
              <w:pStyle w:val="Justified"/>
              <w:keepNext w:val="true"/>
              <w:widowControl/>
              <w:tabs>
                <w:tab w:val="clear" w:pos="720"/>
                <w:tab w:val="left" w:pos="3762" w:leader="none"/>
                <w:tab w:val="left" w:pos="4230" w:leader="none"/>
                <w:tab w:val="left" w:pos="9360" w:leader="none"/>
              </w:tabs>
              <w:spacing w:lineRule="exact" w:line="240"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First Union National Bank</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301 South College Street, DC-8</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Charlotte, North Carolina 28202-0600</w:t>
            </w:r>
          </w:p>
          <w:p>
            <w:pPr>
              <w:pStyle w:val="Normal"/>
              <w:keepNext w:val="true"/>
              <w:tabs>
                <w:tab w:val="clear" w:pos="720"/>
                <w:tab w:val="left" w:pos="3762" w:leader="none"/>
                <w:tab w:val="left" w:pos="4230" w:leader="none"/>
                <w:tab w:val="left" w:pos="9360" w:leader="none"/>
              </w:tabs>
              <w:spacing w:lineRule="exact" w:line="240"/>
              <w:jc w:val="both"/>
              <w:rPr>
                <w:sz w:val="22"/>
              </w:rPr>
            </w:pPr>
            <w:r>
              <w:rPr>
                <w:sz w:val="22"/>
              </w:rPr>
              <w:t>Attn.:  Bruce Young, Sr. Vice President, Risk Management</w:t>
            </w:r>
          </w:p>
        </w:tc>
        <w:tc>
          <w:tcPr>
            <w:tcW w:w="40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Facsimile No.:  (704) 383-0575</w:t>
            </w:r>
          </w:p>
          <w:p>
            <w:pPr>
              <w:pStyle w:val="Normal"/>
              <w:keepNext w:val="true"/>
              <w:tabs>
                <w:tab w:val="clear" w:pos="720"/>
                <w:tab w:val="left" w:pos="2952" w:leader="none"/>
                <w:tab w:val="left" w:pos="4230" w:leader="none"/>
                <w:tab w:val="left" w:pos="9360" w:leader="none"/>
              </w:tabs>
              <w:spacing w:lineRule="exact" w:line="240"/>
              <w:ind w:start="72" w:end="0"/>
              <w:jc w:val="both"/>
              <w:rPr>
                <w:sz w:val="22"/>
              </w:rPr>
            </w:pPr>
            <w:r>
              <w:rPr>
                <w:sz w:val="22"/>
              </w:rPr>
              <w:t>Telephone No.: (704) 383-8778</w:t>
            </w:r>
          </w:p>
        </w:tc>
      </w:tr>
    </w:tbl>
    <w:p>
      <w:pPr>
        <w:pStyle w:val="Normal"/>
        <w:keepNext w:val="true"/>
        <w:tabs>
          <w:tab w:val="left" w:pos="720" w:leader="none"/>
          <w:tab w:val="left" w:pos="1440" w:leader="none"/>
          <w:tab w:val="left" w:pos="5472" w:leader="dot"/>
          <w:tab w:val="right" w:pos="9360" w:leader="dot"/>
        </w:tabs>
        <w:spacing w:lineRule="exact" w:line="240" w:before="240" w:after="0"/>
        <w:ind w:firstLine="720" w:end="0"/>
        <w:jc w:val="both"/>
        <w:rPr/>
      </w:pPr>
      <w:r>
        <w:rPr>
          <w:sz w:val="22"/>
        </w:rPr>
        <w:t>(b)</w:t>
        <w:tab/>
      </w:r>
      <w:r>
        <w:rPr>
          <w:b/>
          <w:sz w:val="22"/>
        </w:rPr>
        <w:t>Offices; Multibranch Parties.</w:t>
      </w:r>
      <w:r>
        <w:rPr>
          <w:sz w:val="22"/>
        </w:rPr>
        <w:t xml:space="preserve">  The provisions of Section 10(a) will be applicable.  For the purpose of Section 10(c):  Party A is not a Multibranch Party and Party B is a Multibranch Party and may act through the following Offices - its Charlotte Head Office and its London Branch.</w:t>
      </w:r>
    </w:p>
    <w:p>
      <w:pPr>
        <w:pStyle w:val="Normal"/>
        <w:spacing w:lineRule="exact" w:line="240" w:before="240" w:after="0"/>
        <w:ind w:firstLine="720" w:end="0"/>
        <w:jc w:val="both"/>
        <w:rPr/>
      </w:pPr>
      <w:r>
        <w:rPr>
          <w:sz w:val="22"/>
        </w:rPr>
        <w:t>(c)</w:t>
        <w:tab/>
      </w:r>
      <w:r>
        <w:rPr>
          <w:b/>
          <w:sz w:val="22"/>
        </w:rPr>
        <w:t>Calculation Agent.</w:t>
      </w:r>
      <w:r>
        <w:rPr>
          <w:sz w:val="22"/>
        </w:rPr>
        <w:t xml:space="preserve">  The Calculation Agent is Party A, unless Party A is a Defaulting Party in which case a bank or financial institution acceptable to both parties shall be appointed to act as Calculation Agent.  All calculations may be independently confirmed by each party and in the event calculations are inconsistent, Party A and Party B shall seek to resolve the inconsistency in good faith.</w:t>
      </w:r>
    </w:p>
    <w:p>
      <w:pPr>
        <w:pStyle w:val="Normal"/>
        <w:spacing w:lineRule="exact" w:line="240" w:before="240" w:after="0"/>
        <w:ind w:firstLine="720" w:end="0"/>
        <w:jc w:val="both"/>
        <w:rPr/>
      </w:pPr>
      <w:r>
        <w:rPr>
          <w:sz w:val="22"/>
        </w:rPr>
        <w:t>(d)</w:t>
        <w:tab/>
      </w:r>
      <w:r>
        <w:rPr>
          <w:b/>
          <w:sz w:val="22"/>
        </w:rPr>
        <w:t>Credit Support Documents.</w:t>
      </w:r>
      <w:r>
        <w:rPr>
          <w:sz w:val="22"/>
        </w:rPr>
        <w:t xml:space="preserve">  Details of any Credit Support Document, each of which is incorporated by reference in, and made part of, this Agreement and each Confirmation (unless provided otherwise in a Confirmation) as if set forth in full in this Agreement or such Confirmation: the Credit Support Annex hereto, dated as of July __, 2001, executed and delivered by Party A and Party B.</w:t>
      </w:r>
    </w:p>
    <w:p>
      <w:pPr>
        <w:pStyle w:val="Normal"/>
        <w:spacing w:lineRule="exact" w:line="240" w:before="240" w:after="0"/>
        <w:ind w:firstLine="720" w:end="0"/>
        <w:jc w:val="both"/>
        <w:rPr/>
      </w:pPr>
      <w:r>
        <w:rPr>
          <w:sz w:val="22"/>
        </w:rPr>
        <w:t>(e)</w:t>
        <w:tab/>
      </w:r>
      <w:r>
        <w:rPr>
          <w:b/>
          <w:sz w:val="22"/>
        </w:rPr>
        <w:t>Credit Support Provider.</w:t>
      </w:r>
      <w:r>
        <w:rPr>
          <w:sz w:val="22"/>
        </w:rPr>
        <w:t xml:space="preserve">  (i) Credit Support Provider means in relation to Party A, none, and (ii) Credit Support Provider means in relation to Party B, none.</w:t>
      </w:r>
    </w:p>
    <w:p>
      <w:pPr>
        <w:pStyle w:val="Normal"/>
        <w:spacing w:lineRule="exact" w:line="240" w:before="240" w:after="0"/>
        <w:ind w:firstLine="720" w:end="0"/>
        <w:jc w:val="both"/>
        <w:rPr/>
      </w:pPr>
      <w:r>
        <w:rPr>
          <w:sz w:val="22"/>
        </w:rPr>
        <w:t>(f)</w:t>
        <w:tab/>
      </w:r>
      <w:r>
        <w:rPr>
          <w:b/>
          <w:sz w:val="22"/>
        </w:rPr>
        <w:t>Netting of Payments.</w:t>
      </w:r>
      <w:r>
        <w:rPr>
          <w:sz w:val="22"/>
        </w:rPr>
        <w:t xml:space="preserve">  Section 2(c)(ii) will not apply to all Transactions.</w:t>
      </w:r>
    </w:p>
    <w:p>
      <w:pPr>
        <w:pStyle w:val="Normal"/>
        <w:spacing w:lineRule="exact" w:line="240" w:before="240" w:after="0"/>
        <w:ind w:firstLine="720" w:end="0"/>
        <w:jc w:val="both"/>
        <w:rPr/>
      </w:pPr>
      <w:r>
        <w:rPr>
          <w:sz w:val="22"/>
        </w:rPr>
        <w:t>(g)</w:t>
        <w:tab/>
      </w:r>
      <w:r>
        <w:rPr>
          <w:b/>
          <w:sz w:val="22"/>
        </w:rPr>
        <w:t>Governing Law.  This Agreement and each Confirmation will be governed by, and construed, interpreted, and enforced in accordance with, the substantive law of the State of New York (without reference to its choice of law doctrine).</w:t>
      </w:r>
    </w:p>
    <w:p>
      <w:pPr>
        <w:pStyle w:val="Normal"/>
        <w:spacing w:lineRule="exact" w:line="240" w:before="240" w:after="0"/>
        <w:ind w:firstLine="720" w:end="0"/>
        <w:jc w:val="both"/>
        <w:rPr/>
      </w:pPr>
      <w:r>
        <w:rPr>
          <w:sz w:val="22"/>
        </w:rPr>
        <w:t>(h)</w:t>
        <w:tab/>
      </w:r>
      <w:r>
        <w:rPr>
          <w:b/>
          <w:sz w:val="22"/>
        </w:rPr>
        <w:t>Jurisdiction.</w:t>
      </w:r>
      <w:r>
        <w:rPr>
          <w:sz w:val="22"/>
        </w:rPr>
        <w:t xml:space="preserve">  Section 13(b) is hereby deleted in its entirety and replaced with the following:</w:t>
      </w:r>
    </w:p>
    <w:p>
      <w:pPr>
        <w:pStyle w:val="Normal"/>
        <w:ind w:start="720" w:end="0"/>
        <w:jc w:val="both"/>
        <w:rPr>
          <w:sz w:val="22"/>
        </w:rPr>
      </w:pPr>
      <w:r>
        <w:rPr>
          <w:sz w:val="22"/>
        </w:rPr>
        <w:tab/>
      </w:r>
    </w:p>
    <w:p>
      <w:pPr>
        <w:pStyle w:val="Normal"/>
        <w:ind w:firstLine="720" w:start="720" w:end="0"/>
        <w:jc w:val="both"/>
        <w:rPr/>
      </w:pPr>
      <w:r>
        <w:rPr>
          <w:sz w:val="22"/>
        </w:rPr>
        <w:t>(b)</w:t>
        <w:tab/>
      </w:r>
      <w:r>
        <w:rPr>
          <w:b/>
          <w:sz w:val="22"/>
        </w:rPr>
        <w:t>Agreement To Arbitrate:</w:t>
      </w:r>
      <w:r>
        <w:rPr>
          <w:sz w:val="22"/>
        </w:rPr>
        <w:t xml:space="preserve">  Any claim, counterclaim, demand, cause of action, dispute, and controversy arising out of or relating to this Agreement or 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jc w:val="both"/>
        <w:rPr>
          <w:sz w:val="22"/>
        </w:rPr>
      </w:pPr>
      <w:r>
        <w:rPr>
          <w:sz w:val="22"/>
        </w:rPr>
      </w:r>
    </w:p>
    <w:p>
      <w:pPr>
        <w:pStyle w:val="Normal"/>
        <w:ind w:start="720" w:end="0"/>
        <w:jc w:val="both"/>
        <w:rPr/>
      </w:pPr>
      <w:r>
        <w:rPr>
          <w:b/>
          <w:sz w:val="22"/>
        </w:rPr>
        <w:t>Conduct Of The Arbitration, And Authority Of The Arbitrators:</w:t>
      </w:r>
      <w:r>
        <w:rPr>
          <w:sz w:val="22"/>
        </w:rPr>
        <w:t xml:space="preserve"> </w:t>
      </w:r>
      <w:r>
        <w:rPr>
          <w:i/>
          <w:sz w:val="22"/>
        </w:rPr>
        <w:t xml:space="preserve"> </w:t>
      </w:r>
      <w:r>
        <w:rPr>
          <w:sz w:val="22"/>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jc w:val="both"/>
        <w:rPr>
          <w:sz w:val="22"/>
        </w:rPr>
      </w:pPr>
      <w:r>
        <w:rPr>
          <w:sz w:val="22"/>
        </w:rPr>
      </w:r>
    </w:p>
    <w:p>
      <w:pPr>
        <w:pStyle w:val="Normal"/>
        <w:ind w:start="720" w:end="0"/>
        <w:jc w:val="both"/>
        <w:rPr/>
      </w:pPr>
      <w:r>
        <w:rPr>
          <w:b/>
          <w:sz w:val="22"/>
        </w:rPr>
        <w:t>Forum For The Arbitration And Selection Of Arbitrators:</w:t>
      </w:r>
      <w:r>
        <w:rPr>
          <w:sz w:val="22"/>
        </w:rPr>
        <w:t xml:space="preserve">  The arbitration proceeding shall be conducted in Atlanta, Georgia.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minimal relationships with the party that appointed such arbitrator.</w:t>
      </w:r>
    </w:p>
    <w:p>
      <w:pPr>
        <w:pStyle w:val="Normal"/>
        <w:jc w:val="both"/>
        <w:rPr>
          <w:sz w:val="22"/>
        </w:rPr>
      </w:pPr>
      <w:r>
        <w:rPr>
          <w:sz w:val="22"/>
        </w:rPr>
      </w:r>
    </w:p>
    <w:p>
      <w:pPr>
        <w:pStyle w:val="Normal"/>
        <w:ind w:start="720" w:end="0"/>
        <w:jc w:val="both"/>
        <w:rPr/>
      </w:pPr>
      <w:r>
        <w:rPr>
          <w:b/>
          <w:sz w:val="22"/>
        </w:rPr>
        <w:t>Confidentiality:</w:t>
      </w:r>
      <w:r>
        <w:rPr>
          <w:sz w:val="22"/>
        </w:rPr>
        <w:t xml:space="preserve">  To the fullest extent permitted by law, any arbitration proceeding and the arbitrators award shall be maintained in confidence by the parties.</w:t>
      </w:r>
    </w:p>
    <w:p>
      <w:pPr>
        <w:pStyle w:val="Normal"/>
        <w:ind w:start="720" w:end="0"/>
        <w:jc w:val="both"/>
        <w:rPr>
          <w:color w:val="FF0000"/>
          <w:sz w:val="22"/>
        </w:rPr>
      </w:pPr>
      <w:r>
        <w:rPr>
          <w:color w:val="FF0000"/>
          <w:sz w:val="22"/>
        </w:rPr>
      </w:r>
    </w:p>
    <w:p>
      <w:pPr>
        <w:pStyle w:val="Normal"/>
        <w:keepNext w:val="true"/>
        <w:spacing w:lineRule="exact" w:line="240" w:before="480" w:after="0"/>
        <w:jc w:val="both"/>
        <w:rPr>
          <w:b/>
          <w:sz w:val="22"/>
        </w:rPr>
      </w:pPr>
      <w:r>
        <w:rPr>
          <w:b/>
          <w:sz w:val="22"/>
        </w:rPr>
        <w:t>Part 5.  Other Provisions.</w:t>
      </w:r>
    </w:p>
    <w:p>
      <w:pPr>
        <w:pStyle w:val="Normal"/>
        <w:keepNext w:val="true"/>
        <w:spacing w:lineRule="exact" w:line="240" w:before="240" w:after="0"/>
        <w:ind w:firstLine="720" w:end="0"/>
        <w:jc w:val="both"/>
        <w:rPr/>
      </w:pPr>
      <w:r>
        <w:rPr>
          <w:sz w:val="22"/>
        </w:rPr>
        <w:t>(a)</w:t>
        <w:tab/>
      </w:r>
      <w:r>
        <w:rPr>
          <w:b/>
          <w:sz w:val="22"/>
        </w:rPr>
        <w:t>Conditions Precedent.</w:t>
      </w:r>
      <w:r>
        <w:rPr>
          <w:sz w:val="22"/>
        </w:rPr>
        <w:t xml:space="preserve">  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spacing w:lineRule="exact" w:line="240" w:before="240" w:after="0"/>
        <w:ind w:firstLine="720" w:end="0"/>
        <w:jc w:val="both"/>
        <w:rPr/>
      </w:pPr>
      <w:r>
        <w:rPr>
          <w:sz w:val="22"/>
        </w:rPr>
        <w:t xml:space="preserve"> </w:t>
      </w:r>
      <w:r>
        <w:rPr>
          <w:sz w:val="22"/>
        </w:rPr>
        <w:t>(b)</w:t>
        <w:tab/>
      </w:r>
      <w:r>
        <w:rPr>
          <w:b/>
          <w:sz w:val="22"/>
        </w:rPr>
        <w:t>Representations.</w:t>
      </w:r>
      <w:r>
        <w:rPr>
          <w:sz w:val="22"/>
        </w:rPr>
        <w:t xml:space="preserve">  Section 3 is hereby amended by adding at the end thereof the following Subsections (g), (h), (i), and (j):</w:t>
      </w:r>
    </w:p>
    <w:p>
      <w:pPr>
        <w:pStyle w:val="Normal"/>
        <w:spacing w:lineRule="exact" w:line="240" w:before="240" w:after="0"/>
        <w:ind w:firstLine="720" w:start="720" w:end="0"/>
        <w:jc w:val="both"/>
        <w:rPr/>
      </w:pPr>
      <w:r>
        <w:rPr>
          <w:sz w:val="22"/>
        </w:rPr>
        <w:t>(g)</w:t>
        <w:tab/>
      </w:r>
      <w:r>
        <w:rPr>
          <w:b/>
          <w:sz w:val="22"/>
        </w:rPr>
        <w:t>Line of Business.</w:t>
      </w:r>
      <w:r>
        <w:rPr>
          <w:sz w:val="22"/>
        </w:rPr>
        <w:t xml:space="preserve">  It is entering into this Agreement, including without limitation, any Credit Support Document to which it is a party and each Transaction, in conjunction with its line of business (including financial intermediation services) or the financing of its business.</w:t>
      </w:r>
    </w:p>
    <w:p>
      <w:pPr>
        <w:pStyle w:val="Normal"/>
        <w:spacing w:lineRule="exact" w:line="240" w:before="240" w:after="0"/>
        <w:ind w:firstLine="720" w:start="720" w:end="0"/>
        <w:jc w:val="both"/>
        <w:rPr/>
      </w:pPr>
      <w:r>
        <w:rPr>
          <w:sz w:val="22"/>
        </w:rPr>
        <w:t>(h)</w:t>
        <w:tab/>
      </w:r>
      <w:r>
        <w:rPr>
          <w:b/>
          <w:sz w:val="22"/>
        </w:rPr>
        <w:t>Eligibility.</w:t>
      </w:r>
      <w:r>
        <w:rPr>
          <w:sz w:val="22"/>
        </w:rPr>
        <w:t xml:space="preserve">  It is an “eligible contract participant” within the meaning of the Commodity Exchange Act (as amended by the Commodity Futures Modernization Act of 2000).</w:t>
      </w:r>
    </w:p>
    <w:p>
      <w:pPr>
        <w:pStyle w:val="Normal"/>
        <w:spacing w:lineRule="exact" w:line="240" w:before="240" w:after="0"/>
        <w:ind w:firstLine="720" w:start="720" w:end="0"/>
        <w:jc w:val="both"/>
        <w:rPr/>
      </w:pPr>
      <w:r>
        <w:rPr>
          <w:sz w:val="22"/>
        </w:rPr>
        <w:t>(i)</w:t>
      </w:r>
      <w:r>
        <w:rPr>
          <w:b/>
          <w:sz w:val="22"/>
        </w:rPr>
        <w:tab/>
        <w:t>Customization and Creditworthiness.</w:t>
      </w:r>
      <w:r>
        <w:rPr>
          <w:sz w:val="22"/>
        </w:rPr>
        <w:t xml:space="preserve">  The economic terms of this Agreement, any Credit Support Document to which it is a party, and each Transaction have been individually tailored and negotiated by it; the creditworthiness of the other party was a material consideration in its entering into or determining the terms of this Agreement, such Credit Support Document, and such Transaction.</w:t>
      </w:r>
    </w:p>
    <w:p>
      <w:pPr>
        <w:pStyle w:val="Normal"/>
        <w:spacing w:lineRule="exact" w:line="240" w:before="240" w:after="0"/>
        <w:ind w:firstLine="720" w:start="720" w:end="0"/>
        <w:jc w:val="both"/>
        <w:rPr/>
      </w:pPr>
      <w:r>
        <w:rPr>
          <w:sz w:val="22"/>
        </w:rPr>
        <w:t>(j)</w:t>
        <w:tab/>
      </w:r>
      <w:r>
        <w:rPr>
          <w:b/>
          <w:sz w:val="22"/>
        </w:rPr>
        <w:t>No Reliance.</w:t>
      </w:r>
      <w:r>
        <w:rPr>
          <w:sz w:val="22"/>
        </w:rPr>
        <w:t xml:space="preserve">  In connection with this Agreement, any Credit Support Document to which it is a party, and each Transaction:  (i) it is acting as principal; (ii) the other party is not acting as a fiduciary or financial or investment advisor for it; (iii) it is not relying upon any representations (whether written or oral) of the other party other than the representations expressly set forth in this Agreement and in such Credit Support Document; (iv)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Agreement, such Credit Support Document, or such Transaction; (v)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(vi) its decisions have been the result of arm’s length negotiations between the parties; and (vii) it is entering into this Agreement, such Credit Support Document, and such Transaction with a full understanding of all of the risks hereof and thereof (economic and otherwise), and it is capable of assuming and willing to assume those risks.</w:t>
      </w:r>
    </w:p>
    <w:p>
      <w:pPr>
        <w:pStyle w:val="Normal"/>
        <w:spacing w:lineRule="exact" w:line="240" w:before="240" w:after="0"/>
        <w:ind w:firstLine="720" w:end="0"/>
        <w:jc w:val="both"/>
        <w:rPr/>
      </w:pPr>
      <w:r>
        <w:rPr>
          <w:sz w:val="22"/>
        </w:rPr>
        <w:t>(c)</w:t>
        <w:tab/>
      </w:r>
      <w:r>
        <w:rPr>
          <w:b/>
          <w:sz w:val="22"/>
        </w:rPr>
        <w:t>Additional Representations and Agreements.</w:t>
      </w:r>
      <w:r>
        <w:rPr>
          <w:sz w:val="22"/>
        </w:rPr>
        <w:t xml:space="preserve">  For the purpose of Section 3 of the Agreement, Party B further represents and warrants to Party A (which representations will be deemed to be repeated by Party B on each date on which a Transaction is entered into), and agrees with Party A as follows:</w:t>
      </w:r>
    </w:p>
    <w:p>
      <w:pPr>
        <w:pStyle w:val="Normal"/>
        <w:spacing w:lineRule="exact" w:line="240" w:before="240" w:after="0"/>
        <w:ind w:hanging="720" w:start="1440" w:end="0"/>
        <w:jc w:val="both"/>
        <w:rPr>
          <w:sz w:val="22"/>
        </w:rPr>
      </w:pPr>
      <w:r>
        <w:rPr>
          <w:sz w:val="22"/>
        </w:rPr>
        <w:t>(i)</w:t>
        <w:tab/>
        <w:t>The necessary action to authorize referred to in the representation in Section 3(a)(ii) includes all authorizations required under the FDI Act.</w:t>
      </w:r>
    </w:p>
    <w:p>
      <w:pPr>
        <w:pStyle w:val="BodyTextIndent2"/>
        <w:widowControl/>
        <w:tabs>
          <w:tab w:val="clear" w:pos="1350"/>
        </w:tabs>
        <w:spacing w:lineRule="exact" w:line="240" w:before="24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(ii)</w:t>
        <w:tab/>
        <w:t>At all times during the term of this Agreement and any Credit Support Document to which it is a party, Party B will continuously include and maintain as part of its official written books and records this Agreement, any Credit Support Document to which it is a party, and all other exhibits, supplements, and attachments hereto and documents incorporated by reference herein, all Confirmations, and evidence of all necessary authorizations.</w:t>
      </w:r>
    </w:p>
    <w:p>
      <w:pPr>
        <w:pStyle w:val="Normal"/>
        <w:spacing w:lineRule="exact" w:line="240" w:before="240" w:after="0"/>
        <w:ind w:hanging="720" w:start="1440" w:end="0"/>
        <w:jc w:val="both"/>
        <w:rPr>
          <w:sz w:val="22"/>
        </w:rPr>
      </w:pPr>
      <w:r>
        <w:rPr>
          <w:sz w:val="22"/>
        </w:rPr>
        <w:t>(iii)</w:t>
        <w:tab/>
        <w:t xml:space="preserve">This Agreement, any Credit Support Document to which Party B is a party, each Confirmation, and any other documentation relating to this Agreement to which it is a party or that it is required to deliver will be executed and delivered by a duly appointed or elected and authorized officer of Party B. </w:t>
      </w:r>
    </w:p>
    <w:p>
      <w:pPr>
        <w:pStyle w:val="Normal"/>
        <w:spacing w:lineRule="exact" w:line="240" w:before="240" w:after="0"/>
        <w:ind w:firstLine="720" w:end="0"/>
        <w:jc w:val="both"/>
        <w:rPr/>
      </w:pPr>
      <w:r>
        <w:rPr>
          <w:sz w:val="22"/>
        </w:rPr>
        <w:t>(d)</w:t>
        <w:tab/>
      </w:r>
      <w:r>
        <w:rPr>
          <w:b/>
          <w:sz w:val="22"/>
        </w:rPr>
        <w:t>Reference Market-makers.</w:t>
      </w:r>
      <w:r>
        <w:rPr>
          <w:sz w:val="22"/>
        </w:rPr>
        <w:t xml:space="preserve">  The definition of </w:t>
      </w:r>
      <w:r>
        <w:rPr>
          <w:b/>
          <w:sz w:val="22"/>
        </w:rPr>
        <w:t>“Reference Market-makers”</w:t>
      </w:r>
      <w:r>
        <w:rPr>
          <w:sz w:val="22"/>
        </w:rPr>
        <w:t xml:space="preserve"> in Section 14 is hereby amended by deleting clause (b) thereof.</w:t>
      </w:r>
    </w:p>
    <w:p>
      <w:pPr>
        <w:pStyle w:val="Normal"/>
        <w:spacing w:lineRule="exact" w:line="240" w:before="240" w:after="0"/>
        <w:ind w:firstLine="720" w:end="0"/>
        <w:jc w:val="both"/>
        <w:rPr/>
      </w:pPr>
      <w:r>
        <w:rPr>
          <w:sz w:val="22"/>
        </w:rPr>
        <w:t>(e)</w:t>
        <w:tab/>
      </w:r>
      <w:r>
        <w:rPr>
          <w:b/>
          <w:sz w:val="22"/>
        </w:rPr>
        <w:t>Definitions.</w:t>
      </w:r>
      <w:r>
        <w:rPr>
          <w:sz w:val="22"/>
        </w:rPr>
        <w:t xml:space="preserve">  This Agreement, each Confirmation, and each Transaction are subject to the 2000 ISDA Definitions (the “2000 Definitions”) and the 1996 ISDA Equity Derivatives Definitions (the “1996 Definitions”), as such definitions may be amended, supplemented, replaced or modified from time to time (the 2000 Definitions and the 1996 Definitions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  In the event of a conflict between the 2000 Definitions and the 1996 Definitions, the 1996 Definitions will prevail.</w:t>
      </w:r>
    </w:p>
    <w:p>
      <w:pPr>
        <w:pStyle w:val="Normal"/>
        <w:spacing w:lineRule="exact" w:line="240" w:before="240" w:after="0"/>
        <w:ind w:firstLine="720" w:end="0"/>
        <w:jc w:val="both"/>
        <w:rPr/>
      </w:pPr>
      <w:r>
        <w:rPr>
          <w:sz w:val="22"/>
        </w:rPr>
        <w:t>(f)</w:t>
        <w:tab/>
      </w:r>
      <w:r>
        <w:rPr>
          <w:b/>
          <w:sz w:val="22"/>
        </w:rPr>
        <w:t>Procedures for Entering into Transactions.</w:t>
      </w:r>
      <w:r>
        <w:rPr>
          <w:sz w:val="22"/>
        </w:rPr>
        <w:t xml:space="preserve">  The parties hereby amend Section 9(e)(ii) by adding the following sentences at the end thereof:  “On or promptly following the Trade Date of a Transaction, Party A will send to Party B a Confirmation.  Party B will promptly thereafter confirm the accuracy of, or request the correction of, such Confirmation.  If any dispute shall arise as to whether an error exists in a Confirmation, the parties shall in good faith make reasonable efforts to resolve the dispute.  If Party B fails to accept or dispute the Confirmation in the manner set forth above within ten (10) Local Business Days after it was effectively sent to Party B, the Confirmation shall be deemed to correctly reflect the parties’ agreement on the terms of the Transaction referred to therein, absent manifest error.  The requirement of this Section and elsewhere in this Agreement that the parties exchange Confirmations shall for all purposes be deemed satisfied by a Confirmation sent and an acknowledgment deemed given as provided herein.”</w:t>
      </w:r>
    </w:p>
    <w:p>
      <w:pPr>
        <w:pStyle w:val="Normal"/>
        <w:spacing w:lineRule="exact" w:line="240" w:before="240" w:after="0"/>
        <w:ind w:firstLine="720" w:end="0"/>
        <w:jc w:val="both"/>
        <w:rPr/>
      </w:pPr>
      <w:r>
        <w:rPr>
          <w:sz w:val="22"/>
        </w:rPr>
        <w:t>(g)</w:t>
      </w:r>
      <w:r>
        <w:rPr>
          <w:b/>
          <w:sz w:val="22"/>
        </w:rPr>
        <w:tab/>
        <w:t>Recording.</w:t>
      </w:r>
      <w:r>
        <w:rPr>
          <w:sz w:val="22"/>
        </w:rPr>
        <w:t xml:space="preserve">  Each party consents to the recording, at any time and from time to time, by the other party of any and all communications between officers or employees of the parties in connection with this Agreement or any Transactions, and waives any further notice of such recording.  Such recordings may be submitted in evidence in proceedings to establish matters pertinent to this Agreement or any Transaction.</w:t>
      </w:r>
    </w:p>
    <w:p>
      <w:pPr>
        <w:pStyle w:val="Normal"/>
        <w:spacing w:lineRule="exact" w:line="240" w:before="240" w:after="0"/>
        <w:ind w:firstLine="720" w:end="0"/>
        <w:jc w:val="both"/>
        <w:rPr/>
      </w:pPr>
      <w:r>
        <w:rPr>
          <w:sz w:val="22"/>
        </w:rPr>
        <w:t>(h)</w:t>
        <w:tab/>
      </w:r>
      <w:r>
        <w:rPr>
          <w:b/>
          <w:sz w:val="22"/>
        </w:rPr>
        <w:t>Setoff.</w:t>
      </w:r>
      <w:r>
        <w:rPr>
          <w:sz w:val="22"/>
        </w:rPr>
        <w:t xml:space="preserve">  (A)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spacing w:lineRule="exact" w:line="240" w:before="240" w:after="0"/>
        <w:ind w:firstLine="720" w:end="0"/>
        <w:jc w:val="both"/>
        <w:rPr>
          <w:sz w:val="22"/>
        </w:rPr>
      </w:pPr>
      <w:r>
        <w:rPr>
          <w:sz w:val="22"/>
        </w:rPr>
        <w:t>(B)  Notwithstanding any provision to the contrary contained in this Agreement, the Non-defaulting Party or non-Affected Party, as the case may be, shall not be required to pay to the Defaulting Party or Affected Party any amount under Section 6(e) until the Non-defaulting Party or non-Affected Party receives confirmation satisfactory to it in its reasonable discretion (which may include an opinion of its counsel) that all other obligations of any kind whatsoever (whether pursuant to Specified Indebtedness as defined herein or otherwise) of the Defaulting Party or Affected Party to make any payments to the Non-defaulting Party or non-Affected Party or any of its Affiliates under this Agreement or otherwise which are due and payable as of the Early Termination Date hereof have been fully and finally performed.</w:t>
      </w:r>
    </w:p>
    <w:p>
      <w:pPr>
        <w:pStyle w:val="Normal"/>
        <w:spacing w:lineRule="exact" w:line="240" w:before="240" w:after="0"/>
        <w:ind w:firstLine="720" w:end="0"/>
        <w:jc w:val="both"/>
        <w:rPr/>
      </w:pPr>
      <w:r>
        <w:rPr>
          <w:b/>
          <w:sz w:val="22"/>
        </w:rPr>
        <w:t>(i)</w:t>
        <w:tab/>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b/>
          <w:color w:val="000000"/>
          <w:sz w:val="22"/>
        </w:rPr>
        <w:t>AND GENUINE PRE-ESTIMATE AND</w:t>
      </w:r>
      <w:r>
        <w:rPr>
          <w:b/>
          <w:sz w:val="22"/>
        </w:rPr>
        <w:t xml:space="preserve"> APPROXIMATION OF THE AMOUNT OF SUCH DAMAGES AND NOT A PENALTY.</w:t>
      </w:r>
    </w:p>
    <w:p>
      <w:pPr>
        <w:pStyle w:val="Normal"/>
        <w:spacing w:lineRule="exact" w:line="240" w:before="240" w:after="0"/>
        <w:ind w:firstLine="720" w:end="0"/>
        <w:jc w:val="both"/>
        <w:rPr/>
      </w:pPr>
      <w:r>
        <w:rPr>
          <w:sz w:val="22"/>
        </w:rPr>
        <w:t>(j)</w:t>
        <w:tab/>
      </w:r>
      <w:r>
        <w:rPr>
          <w:b/>
          <w:sz w:val="22"/>
        </w:rPr>
        <w:t>Confidentiality.</w:t>
      </w:r>
      <w:r>
        <w:rPr>
          <w:sz w:val="22"/>
        </w:rPr>
        <w:t xml:space="preserve">  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other than as a result of a disclosure in violation of the terms hereof, (ii) as may be required or appropriate in response to any summons, subpoena, or otherwise in connection with any litigation or to comply with any applicable law, order, regulation, ruling, or accounting disclosure rule or standard, whether in response thereto or upon initiation by either party defending itself, reducing its liability, or protecting or exercising any of its claims, rights, remedies or interests under or in connection with this Agreement or any Transaction, (iii) as may be obtained from a non-confidential source that disclosed such information in a manner that did not violate its obligations to the non-disclosing party or its Credit Support Provider in making such disclosure, or (iv) as may be furnished to the disclosing party’s Affiliates, and to each of such person’s auditors, attorneys, advisors or lenders which are required to keep the information that is disclosed in confidence.</w:t>
      </w:r>
    </w:p>
    <w:p>
      <w:pPr>
        <w:pStyle w:val="Normal"/>
        <w:spacing w:lineRule="exact" w:line="240"/>
        <w:ind w:firstLine="630" w:end="0"/>
        <w:jc w:val="both"/>
        <w:rPr>
          <w:sz w:val="22"/>
        </w:rPr>
      </w:pPr>
      <w:r>
        <w:rPr>
          <w:sz w:val="22"/>
        </w:rPr>
      </w:r>
    </w:p>
    <w:p>
      <w:pPr>
        <w:pStyle w:val="Normal"/>
        <w:spacing w:lineRule="exact" w:line="240"/>
        <w:ind w:firstLine="630" w:end="0"/>
        <w:jc w:val="both"/>
        <w:rPr/>
      </w:pPr>
      <w:r>
        <w:rPr>
          <w:sz w:val="22"/>
        </w:rPr>
        <w:t>(k)</w:t>
        <w:tab/>
      </w:r>
      <w:r>
        <w:rPr>
          <w:b/>
          <w:sz w:val="22"/>
        </w:rPr>
        <w:t>Transfer.</w:t>
      </w:r>
      <w:r>
        <w:rPr>
          <w:sz w:val="22"/>
        </w:rPr>
        <w:t xml:space="preserve">  Section 7 is hereby amended by adding the following Subsection (c):</w:t>
      </w:r>
    </w:p>
    <w:p>
      <w:pPr>
        <w:pStyle w:val="Normal"/>
        <w:spacing w:lineRule="exact" w:line="240"/>
        <w:ind w:firstLine="630" w:end="0"/>
        <w:jc w:val="both"/>
        <w:rPr>
          <w:sz w:val="22"/>
        </w:rPr>
      </w:pPr>
      <w:r>
        <w:rPr>
          <w:sz w:val="22"/>
        </w:rPr>
      </w:r>
    </w:p>
    <w:p>
      <w:pPr>
        <w:pStyle w:val="Normal"/>
        <w:spacing w:lineRule="exact" w:line="240"/>
        <w:ind w:firstLine="720" w:start="720" w:end="0"/>
        <w:jc w:val="both"/>
        <w:rPr>
          <w:sz w:val="22"/>
        </w:rPr>
      </w:pPr>
      <w:r>
        <w:rPr>
          <w:sz w:val="22"/>
        </w:rPr>
        <w:t>“</w:t>
      </w:r>
      <w:r>
        <w:rPr>
          <w:sz w:val="22"/>
        </w:rPr>
        <w:t>(c)  Party A and/or Party B may transfer its rights and obligations under this Agreement, in whole but not in part, to any Affiliate organized in the United States of America so long as the obligations of such Affiliate are guaranteed by Enron Corp., with respect to Party A, and First Union National Bank, with respect to Party B, provided that such transfer will not give rise to a Termination Event or an Event of Default.”</w:t>
      </w:r>
    </w:p>
    <w:p>
      <w:pPr>
        <w:pStyle w:val="Normal"/>
        <w:spacing w:lineRule="exact" w:line="240" w:before="240" w:after="0"/>
        <w:ind w:firstLine="720" w:end="0"/>
        <w:jc w:val="both"/>
        <w:rPr/>
      </w:pPr>
      <w:r>
        <w:rPr>
          <w:sz w:val="22"/>
        </w:rPr>
        <w:t xml:space="preserve"> </w:t>
      </w:r>
      <w:r>
        <w:rPr>
          <w:sz w:val="22"/>
        </w:rPr>
        <w:t>(l)</w:t>
        <w:tab/>
      </w:r>
      <w:r>
        <w:rPr>
          <w:b/>
          <w:sz w:val="22"/>
        </w:rPr>
        <w:t>Applicable Rate.</w:t>
      </w:r>
      <w:r>
        <w:rPr>
          <w:sz w:val="22"/>
        </w:rPr>
        <w:t xml:space="preserve">  The definition of </w:t>
      </w:r>
      <w:r>
        <w:rPr>
          <w:b/>
          <w:sz w:val="22"/>
        </w:rPr>
        <w:t>“Applicable Rate”</w:t>
      </w:r>
      <w:r>
        <w:rPr>
          <w:sz w:val="22"/>
        </w:rPr>
        <w:t xml:space="preserve"> set forth in Section 14 is hereby amended by adding to the end of Subsection (b) of the definition after the word “Rate” the following provision:  “; </w:t>
      </w:r>
      <w:r>
        <w:rPr>
          <w:sz w:val="22"/>
          <w:u w:val="single"/>
        </w:rPr>
        <w:t>provided</w:t>
      </w:r>
      <w:r>
        <w:rPr>
          <w:sz w:val="22"/>
        </w:rPr>
        <w:t xml:space="preserve">, </w:t>
      </w:r>
      <w:r>
        <w:rPr>
          <w:sz w:val="22"/>
          <w:u w:val="single"/>
        </w:rPr>
        <w:t>however</w:t>
      </w:r>
      <w:r>
        <w:rPr>
          <w:sz w:val="22"/>
        </w:rPr>
        <w:t>, that if the payee is a Defaulting Party for purposes of Section 6(e), then the rate shall be the Non-default Rate.”</w:t>
      </w:r>
    </w:p>
    <w:p>
      <w:pPr>
        <w:pStyle w:val="Normal"/>
        <w:spacing w:lineRule="exact" w:line="240" w:before="240" w:after="0"/>
        <w:ind w:firstLine="720" w:end="0"/>
        <w:jc w:val="both"/>
        <w:rPr/>
      </w:pPr>
      <w:r>
        <w:rPr>
          <w:sz w:val="22"/>
        </w:rPr>
        <w:t>(m)</w:t>
        <w:tab/>
      </w:r>
      <w:r>
        <w:rPr>
          <w:b/>
          <w:sz w:val="22"/>
        </w:rPr>
        <w:t>Severability.</w:t>
      </w:r>
      <w:r>
        <w:rPr>
          <w:sz w:val="22"/>
        </w:rPr>
        <w:t xml:space="preserve">  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sz w:val="22"/>
          <w:u w:val="single"/>
        </w:rPr>
        <w:t>provided</w:t>
      </w:r>
      <w:r>
        <w:rPr>
          <w:sz w:val="22"/>
        </w:rPr>
        <w:t xml:space="preserve">, </w:t>
      </w:r>
      <w:r>
        <w:rPr>
          <w:sz w:val="22"/>
          <w:u w:val="single"/>
        </w:rPr>
        <w:t>however</w:t>
      </w:r>
      <w:r>
        <w:rPr>
          <w:sz w:val="22"/>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spacing w:lineRule="exact" w:line="240" w:before="240" w:after="0"/>
        <w:ind w:firstLine="720" w:end="0"/>
        <w:jc w:val="both"/>
        <w:rPr/>
      </w:pPr>
      <w:r>
        <w:rPr>
          <w:sz w:val="22"/>
        </w:rPr>
        <w:t xml:space="preserve"> </w:t>
      </w:r>
      <w:r>
        <w:rPr>
          <w:sz w:val="22"/>
        </w:rPr>
        <w:t xml:space="preserve">(n) </w:t>
        <w:tab/>
      </w:r>
      <w:r>
        <w:rPr>
          <w:b/>
          <w:sz w:val="22"/>
        </w:rPr>
        <w:t>Existing Transactions</w:t>
      </w:r>
      <w:r>
        <w:rPr>
          <w:sz w:val="22"/>
        </w:rPr>
        <w:t xml:space="preserve">.  In the event that the parties have entered into Transactions prior to the date of this Agreement (collectively, the “Prior Transactions”), the parties agree that all such Prior Transactions shall constitute Transactions under and governed by this Agreement.  To the extent of any conflict between the terms and provisions of the Prior Transactions and the terms and provisions of this Agreement, the terms and provisions of the Prior Transactions shall control. </w:t>
      </w:r>
    </w:p>
    <w:p>
      <w:pPr>
        <w:pStyle w:val="Normal"/>
        <w:ind w:firstLine="720" w:end="0"/>
        <w:jc w:val="both"/>
        <w:rPr>
          <w:color w:val="000000"/>
          <w:sz w:val="22"/>
        </w:rPr>
      </w:pPr>
      <w:r>
        <w:rPr>
          <w:color w:val="000000"/>
          <w:sz w:val="22"/>
        </w:rPr>
      </w:r>
    </w:p>
    <w:p>
      <w:pPr>
        <w:pStyle w:val="Normal"/>
        <w:jc w:val="both"/>
        <w:rPr>
          <w:sz w:val="22"/>
        </w:rPr>
      </w:pPr>
      <w:r>
        <w:rPr>
          <w:b/>
          <w:sz w:val="22"/>
        </w:rPr>
        <w:t>Part 6.  Additional Terms for FX Transactions and Currency Option Transactions.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(a)</w:t>
        <w:tab/>
      </w:r>
      <w:r>
        <w:rPr>
          <w:b/>
          <w:sz w:val="22"/>
        </w:rPr>
        <w:t>Standard Terms and Conditions Applicable to FX Transactions and Currency Option Transactions.</w:t>
      </w:r>
      <w:r>
        <w:rPr>
          <w:sz w:val="22"/>
        </w:rPr>
        <w:t xml:space="preserve">  Each FX Transaction or Currency Option Transaction outstanding at or entered into after the date hereof between the parties shall be expressly governed by this Agreement irrespective of any references in a Confirmation or otherwise to any other master agreements (e.g. FEOMA, IFEMA, ICOM, any specified terms and conditions).  In the event of any inconsistency between the provisions of this Agreement and the FX Definitions, this Agreement will prevail.</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jc w:val="both"/>
        <w:rPr>
          <w:sz w:val="22"/>
        </w:rPr>
      </w:pPr>
      <w:r>
        <w:rPr>
          <w:spacing w:val="-3"/>
          <w:sz w:val="22"/>
        </w:rPr>
        <w:t>Where an FX Transaction or Currency Option is confirmed by means of exchange of electronic messages on an electronic messaging system or other document or other confirming evidence exchanged between the parties confirming such Transaction such messages, document or evidence will constitute a "Confirmation" for the purposes of this Agreement even where not so specified therein.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pPr>
      <w:r>
        <w:rPr>
          <w:sz w:val="22"/>
        </w:rPr>
        <w:t>(b)</w:t>
        <w:tab/>
      </w:r>
      <w:r>
        <w:rPr>
          <w:b/>
          <w:sz w:val="22"/>
        </w:rPr>
        <w:t>Incorporation of and Amendments to ISDA FX Definitions.</w:t>
      </w:r>
      <w:r>
        <w:rPr>
          <w:sz w:val="22"/>
        </w:rPr>
        <w:t xml:space="preserve">  The 1998 ISDA FX and Currency Option Definitions (the "FX and Currency Option Definitions"), published by the International Swaps and Derivatives Association, Inc. (together with the Emerging Markets Traders Association and The Foreign Exchange Committee) are hereby incorporated by reference with respect to any "FX Transaction" and "Currency Option Transaction" as defined by the FX and Currency Option Definitions, except as otherwise specifically provided herein or in a Confirmation.</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firstLine="720" w:end="0"/>
        <w:jc w:val="both"/>
        <w:rPr>
          <w:sz w:val="22"/>
        </w:rPr>
      </w:pPr>
      <w:r>
        <w:rPr>
          <w:sz w:val="22"/>
        </w:rPr>
        <w:t>The following amendment is made to the FX and Currency Option Definitions:</w:t>
      </w:r>
    </w:p>
    <w:p>
      <w:pPr>
        <w:pStyle w:val="Normal"/>
        <w:tabs>
          <w:tab w:val="clear" w:pos="720"/>
          <w:tab w:val="left" w:pos="1350" w:leader="none"/>
        </w:tabs>
        <w:ind w:firstLine="720" w:end="0"/>
        <w:jc w:val="both"/>
        <w:rPr>
          <w:sz w:val="22"/>
        </w:rPr>
      </w:pPr>
      <w:r>
        <w:rPr>
          <w:sz w:val="22"/>
        </w:rPr>
      </w:r>
    </w:p>
    <w:p>
      <w:pPr>
        <w:pStyle w:val="Normal"/>
        <w:tabs>
          <w:tab w:val="clear" w:pos="720"/>
          <w:tab w:val="left" w:pos="1350" w:leader="none"/>
        </w:tabs>
        <w:ind w:start="720" w:end="0"/>
        <w:jc w:val="both"/>
        <w:rPr>
          <w:sz w:val="22"/>
        </w:rPr>
      </w:pPr>
      <w:r>
        <w:rPr>
          <w:sz w:val="22"/>
        </w:rPr>
        <w:t>Section 3 of the FX and Currency Option Definitions is hereby amended by the addition of the following as a new Section 3.4(c):</w:t>
      </w:r>
    </w:p>
    <w:p>
      <w:pPr>
        <w:pStyle w:val="Normal"/>
        <w:tabs>
          <w:tab w:val="clear" w:pos="720"/>
          <w:tab w:val="left" w:pos="1350" w:leader="none"/>
        </w:tabs>
        <w:ind w:start="720" w:end="0"/>
        <w:jc w:val="both"/>
        <w:rPr>
          <w:sz w:val="22"/>
        </w:rPr>
      </w:pPr>
      <w:r>
        <w:rPr>
          <w:sz w:val="22"/>
        </w:rPr>
      </w:r>
    </w:p>
    <w:p>
      <w:pPr>
        <w:pStyle w:val="Normal"/>
        <w:keepNext w:val="true"/>
        <w:tabs>
          <w:tab w:val="clear" w:pos="720"/>
          <w:tab w:val="left" w:pos="1350" w:leader="none"/>
        </w:tabs>
        <w:ind w:start="720" w:end="0"/>
        <w:jc w:val="both"/>
        <w:rPr>
          <w:sz w:val="22"/>
        </w:rPr>
      </w:pPr>
      <w:r>
        <w:rPr>
          <w:sz w:val="22"/>
        </w:rPr>
        <w:t xml:space="preserve">"Section 3.4(c).  </w:t>
      </w:r>
      <w:r>
        <w:rPr>
          <w:b/>
          <w:sz w:val="22"/>
        </w:rPr>
        <w:t>Terms Relating to Payment of Premium.</w:t>
      </w:r>
    </w:p>
    <w:p>
      <w:pPr>
        <w:pStyle w:val="Normal"/>
        <w:keepNext w:val="true"/>
        <w:tabs>
          <w:tab w:val="clear" w:pos="720"/>
          <w:tab w:val="left" w:pos="1350" w:leader="none"/>
        </w:tabs>
        <w:ind w:start="720" w:end="0"/>
        <w:jc w:val="both"/>
        <w:rPr>
          <w:sz w:val="22"/>
        </w:rPr>
      </w:pPr>
      <w:r>
        <w:rPr>
          <w:sz w:val="22"/>
        </w:rPr>
      </w:r>
    </w:p>
    <w:p>
      <w:pPr>
        <w:pStyle w:val="BodyTextIndent3"/>
        <w:keepNext w:val="true"/>
        <w:widowControl/>
        <w:spacing w:lineRule="auto" w:line="240"/>
        <w:ind w:hanging="720" w:start="1440" w:end="0"/>
        <w:rPr/>
      </w:pPr>
      <w:r>
        <w:rPr/>
        <w:t>(i)</w:t>
        <w:tab/>
        <w:t>Unless otherwise agreed in writing by the parties, the Premium related to a Currency Option Transaction shall be paid on its Premium Payment Date in immediately available funds.</w:t>
      </w:r>
    </w:p>
    <w:p>
      <w:pPr>
        <w:pStyle w:val="BodyTextIndent3"/>
        <w:widowControl/>
        <w:spacing w:lineRule="auto" w:line="240"/>
        <w:ind w:hanging="720" w:start="1440" w:end="0"/>
        <w:rPr/>
      </w:pPr>
      <w:r>
        <w:rPr/>
      </w:r>
    </w:p>
    <w:p>
      <w:pPr>
        <w:pStyle w:val="BodyTextIndent2"/>
        <w:keepNext w:val="true"/>
        <w:widowControl/>
        <w:tabs>
          <w:tab w:val="clear" w:pos="1350"/>
        </w:tabs>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(ii)</w:t>
        <w:tab/>
        <w:t>If a Premium is not received on the Premium Payment Date, the Seller may elect:  (1) to accept a late payment of such Premium; (2) to give written notice of such non-payment and, if such payment shall not be received within two Local Business Days of such notice, treat the related Currency Option Transaction as void; or (3) to give written notice of such non-payment and, if such payment shall not be received within two Local Business Days of such notice, treat such non-payment as an Event of Default under Section 5(a)(i).  If the Seller elects to act under clause (1) of the preceding sentence, the Buyer shall pay interest on such Premium in the same currency as such Premium from the day such Premium was due until the day paid at the Default Rate, as determined in good faith by the Seller; if the Seller elects to act under clause (2) of the preceding sentence, the Buyer shall pay all out-of-pocket costs and actual damages incurred in connection with such unpaid or late Premium or void Currency Option Transaction, including without limitation, interest on such Premium in the same currency as such Premium at the then prevailing market rate and any other costs or expenses incurred by the Seller in covering its obligations (including, without limitation, a delta hedge) with respect to such Currency Option Transaction."</w:t>
      </w:r>
    </w:p>
    <w:p>
      <w:pPr>
        <w:pStyle w:val="Justified"/>
        <w:widowControl/>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Normal"/>
        <w:tabs>
          <w:tab w:val="left" w:pos="0" w:leader="none"/>
          <w:tab w:val="left" w:pos="720" w:leader="none"/>
          <w:tab w:val="left" w:pos="1440" w:leader="none"/>
        </w:tabs>
        <w:jc w:val="both"/>
        <w:rPr/>
      </w:pPr>
      <w:r>
        <w:rPr>
          <w:b/>
          <w:sz w:val="22"/>
        </w:rPr>
        <w:tab/>
      </w:r>
      <w:r>
        <w:rPr>
          <w:sz w:val="22"/>
        </w:rPr>
        <w:t>(c)</w:t>
      </w:r>
      <w:r>
        <w:rPr>
          <w:b/>
          <w:sz w:val="22"/>
        </w:rPr>
        <w:tab/>
        <w:t>Discharge and Termination of Currency Option Transactions.</w:t>
      </w:r>
      <w:r>
        <w:rPr>
          <w:sz w:val="22"/>
        </w:rPr>
        <w:t xml:space="preserve">  Unless otherwise agreed, any Call Option or any Put Option written by a party will automatically be terminated and discharged, in whole or in part, as applicable, against a Call Option or a Put Option, respectively, written by the other party, such termination and discharge to occur automatically upon the payment in full of the last Premium payable in respect of such Currency Option Transactions; </w:t>
      </w:r>
      <w:r>
        <w:rPr>
          <w:i/>
          <w:sz w:val="22"/>
        </w:rPr>
        <w:t>provided that</w:t>
      </w:r>
      <w:r>
        <w:rPr>
          <w:sz w:val="22"/>
        </w:rPr>
        <w:t>, such termination and discharge may only occur in respect of Currency Option Transactions:</w:t>
      </w:r>
    </w:p>
    <w:p>
      <w:pPr>
        <w:pStyle w:val="Normal"/>
        <w:jc w:val="both"/>
        <w:rPr>
          <w:b/>
          <w:sz w:val="22"/>
        </w:rPr>
      </w:pPr>
      <w:r>
        <w:rPr>
          <w:b/>
          <w:sz w:val="22"/>
        </w:rPr>
      </w:r>
    </w:p>
    <w:p>
      <w:pPr>
        <w:pStyle w:val="Justified"/>
        <w:widowControl/>
        <w:spacing w:before="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(i)</w:t>
        <w:tab/>
        <w:t>each being with respect to the same Put Currency and the same Call Currency;</w:t>
      </w:r>
    </w:p>
    <w:p>
      <w:pPr>
        <w:pStyle w:val="Justified"/>
        <w:widowControl/>
        <w:spacing w:before="24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(ii)</w:t>
        <w:tab/>
        <w:t>each having the same Expiration Date and Expiration Time;</w:t>
      </w:r>
    </w:p>
    <w:p>
      <w:pPr>
        <w:pStyle w:val="Justified"/>
        <w:widowControl/>
        <w:spacing w:before="24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(iii)</w:t>
        <w:tab/>
        <w:t>each being of the same style, i.e. either both being American Style Options or both being European Style Options;</w:t>
      </w:r>
    </w:p>
    <w:p>
      <w:pPr>
        <w:pStyle w:val="Justified"/>
        <w:widowControl/>
        <w:spacing w:before="24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(iv)</w:t>
        <w:tab/>
        <w:t>each having the same Strike Price; and</w:t>
      </w:r>
    </w:p>
    <w:p>
      <w:pPr>
        <w:pStyle w:val="Justified"/>
        <w:widowControl/>
        <w:spacing w:before="24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t>(v)</w:t>
        <w:tab/>
        <w:t>neither of which shall have been exercised by delivery of a Notice of Exercise;</w:t>
      </w:r>
    </w:p>
    <w:p>
      <w:pPr>
        <w:pStyle w:val="Justified"/>
        <w:widowControl/>
        <w:spacing w:before="0" w:after="0"/>
        <w:ind w:hanging="720" w:start="1440" w:end="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Justified"/>
        <w:widowControl/>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and, upon the occurrence of such termination and discharge, neither party shall have any further obligation to the other party in respect of the relevant Currency Option Transactions or, as the case may be, parts thereof so terminated and discharged.  In the case of a partial termination and discharge (i.e. where the relevant Currency Options are for different amounts of the Currency Pair), the remaining portion of the Currency Option which is partially discharged and terminated shall continue to be a Currency Option Transaction for all purposes of this Agreement.</w:t>
      </w:r>
      <w:r>
        <w:br w:type="page"/>
      </w:r>
    </w:p>
    <w:p>
      <w:pPr>
        <w:pStyle w:val="Normal"/>
        <w:keepNext w:val="true"/>
        <w:tabs>
          <w:tab w:val="clear" w:pos="720"/>
          <w:tab w:val="left" w:pos="1134" w:leader="none"/>
        </w:tabs>
        <w:spacing w:before="480" w:after="0"/>
        <w:rPr>
          <w:sz w:val="22"/>
        </w:rPr>
      </w:pPr>
      <w:r>
        <w:rPr>
          <w:b/>
          <w:sz w:val="22"/>
        </w:rPr>
        <w:t>Part 7.  Transactions Governed by FRABBA Terms.</w:t>
      </w:r>
    </w:p>
    <w:p>
      <w:pPr>
        <w:pStyle w:val="Justified"/>
        <w:keepNext w:val="true"/>
        <w:widowControl/>
        <w:spacing w:before="0" w:after="0"/>
        <w:rPr>
          <w:rFonts w:ascii="Times New Roman;Times New Roman" w:hAnsi="Times New Roman;Times New Roman" w:cs="Times New Roman;Times New Roman"/>
          <w:sz w:val="22"/>
        </w:rPr>
      </w:pPr>
      <w:r>
        <w:rPr>
          <w:rFonts w:cs="Times New Roman;Times New Roman" w:ascii="Times New Roman;Times New Roman" w:hAnsi="Times New Roman;Times New Roman"/>
          <w:sz w:val="22"/>
        </w:rPr>
      </w:r>
    </w:p>
    <w:p>
      <w:pPr>
        <w:pStyle w:val="Header"/>
        <w:keepNext w:val="true"/>
        <w:widowControl/>
        <w:jc w:val="both"/>
        <w:rPr/>
      </w:pPr>
      <w:r>
        <w:rPr/>
        <w:t xml:space="preserve">Any forward rate agreement into which the parties </w:t>
      </w:r>
      <w:r>
        <w:rPr>
          <w:i/>
        </w:rPr>
        <w:t>have entered</w:t>
      </w:r>
      <w:r>
        <w:rPr/>
        <w:t xml:space="preserve"> and in respect of which the confirmation or other confirming evidence refers to or incorporates the British Bankers' Association London Interbank Forward Rate Agreements Recommended Terms and Conditions (1985 edition) ("FRABBA Terms") will be governed by this Agreement.  Any forward rate agreement into which the parties </w:t>
      </w:r>
      <w:r>
        <w:rPr>
          <w:i/>
        </w:rPr>
        <w:t>may enter</w:t>
      </w:r>
      <w:r>
        <w:rPr/>
        <w:t xml:space="preserve"> and in respect of which the confirmation or other confirming evidence refers to or incorporates the FRABBA Terms will be governed by this Agreement in all circumstances except when the parties expressly agree otherwise.  Each such transaction will be deemed to be a Transaction and each such confirmation or other confirming evidence will be deemed to constitute a Confirmation for purposes of this Agreement.  Sections B, C and E and clauses, 1, 4, 5 and 6 of Section D of the FRABBA Terms are hereby incorporated by reference in this Agreement.  Those Sections are applicable only to transactions to which this provision relates and will prevail in the event of any inconsistency with any other provision of this Agreement.  In the event of any other inconsistency between the FRABBA Terms and this Agreement, this Agreement will govern.  Clauses 2, 3, 7, 8, 9 and 10 of Section D of the FRABBA Terms are not applicable to any transaction to which this provision relates.</w:t>
      </w:r>
    </w:p>
    <w:p>
      <w:pPr>
        <w:pStyle w:val="Justified"/>
        <w:widowControl/>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r>
    </w:p>
    <w:p>
      <w:pPr>
        <w:pStyle w:val="Justified"/>
        <w:widowControl/>
        <w:spacing w:before="0" w:after="0"/>
        <w:rPr>
          <w:rFonts w:ascii="Times New Roman;Times New Roman" w:hAnsi="Times New Roman;Times New Roman" w:cs="Times New Roman;Times New Roman"/>
        </w:rPr>
      </w:pPr>
      <w:r>
        <w:rPr>
          <w:rFonts w:cs="Times New Roman;Times New Roman" w:ascii="Times New Roman;Times New Roman" w:hAnsi="Times New Roman;Times New Roman"/>
        </w:rPr>
        <w:t>EXECUTED effective as of the date first written above.</w:t>
      </w:r>
    </w:p>
    <w:p>
      <w:pPr>
        <w:pStyle w:val="Normal"/>
        <w:jc w:val="both"/>
        <w:rPr>
          <w:rFonts w:ascii="Times New Roman;Times New Roman" w:hAnsi="Times New Roman;Times New Roman" w:cs="Times New Roman;Times New Roman"/>
          <w:sz w:val="22"/>
        </w:rPr>
      </w:pPr>
      <w:r>
        <w:rPr>
          <w:rFonts w:cs="Times New Roman;Times New Roman"/>
          <w:sz w:val="22"/>
        </w:rPr>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keepNext w:val="true"/>
              <w:spacing w:lineRule="exact" w:line="240"/>
              <w:jc w:val="both"/>
              <w:rPr>
                <w:sz w:val="22"/>
              </w:rPr>
            </w:pPr>
            <w:r>
              <w:rPr>
                <w:b/>
                <w:sz w:val="22"/>
              </w:rPr>
              <w:t>ENRON CORP.</w:t>
            </w:r>
          </w:p>
          <w:p>
            <w:pPr>
              <w:pStyle w:val="Normal"/>
              <w:keepNext w:val="true"/>
              <w:spacing w:lineRule="exact" w:line="240"/>
              <w:jc w:val="both"/>
              <w:rPr>
                <w:b/>
                <w:color w:val="800080"/>
                <w:sz w:val="22"/>
              </w:rPr>
            </w:pPr>
            <w:r>
              <w:rPr>
                <w:b/>
                <w:color w:val="800080"/>
                <w:sz w:val="22"/>
              </w:rPr>
            </w:r>
          </w:p>
          <w:p>
            <w:pPr>
              <w:pStyle w:val="Normal"/>
              <w:keepNext w:val="true"/>
              <w:spacing w:lineRule="exact" w:line="240"/>
              <w:jc w:val="both"/>
              <w:rPr>
                <w:b/>
                <w:color w:val="FF0000"/>
                <w:sz w:val="22"/>
              </w:rPr>
            </w:pPr>
            <w:r>
              <w:rPr>
                <w:b/>
                <w:color w:val="FF0000"/>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tabs>
                <w:tab w:val="clear" w:pos="720"/>
                <w:tab w:val="left" w:pos="4320" w:leader="none"/>
              </w:tabs>
              <w:spacing w:lineRule="exact" w:line="240"/>
              <w:jc w:val="both"/>
              <w:rPr>
                <w:sz w:val="22"/>
              </w:rPr>
            </w:pPr>
            <w:r>
              <w:rPr>
                <w:sz w:val="22"/>
              </w:rPr>
              <w:t xml:space="preserve">Title:    </w:t>
            </w:r>
            <w:r>
              <w:rPr>
                <w:sz w:val="22"/>
                <w:u w:val="single"/>
              </w:rPr>
              <w:tab/>
            </w:r>
          </w:p>
          <w:p>
            <w:pPr>
              <w:pStyle w:val="Normal"/>
              <w:keepNext w:val="true"/>
              <w:spacing w:lineRule="exact" w:line="240"/>
              <w:jc w:val="both"/>
              <w:rPr>
                <w:sz w:val="22"/>
              </w:rPr>
            </w:pPr>
            <w:r>
              <w:rPr>
                <w:sz w:val="22"/>
              </w:rPr>
              <w:t xml:space="preserve">Date:     </w:t>
            </w:r>
            <w:r>
              <w:rPr>
                <w:sz w:val="22"/>
                <w:u w:val="single"/>
              </w:rPr>
              <w:tab/>
              <w:tab/>
              <w:tab/>
              <w:tab/>
              <w:tab/>
            </w:r>
          </w:p>
        </w:tc>
        <w:tc>
          <w:tcPr>
            <w:tcW w:w="4788" w:type="dxa"/>
            <w:tcBorders/>
          </w:tcPr>
          <w:p>
            <w:pPr>
              <w:pStyle w:val="Heading4"/>
              <w:tabs>
                <w:tab w:val="clear" w:pos="1080"/>
              </w:tabs>
              <w:spacing w:lineRule="exact" w:line="240"/>
              <w:ind w:hanging="0" w:start="0"/>
              <w:rPr/>
            </w:pPr>
            <w:r>
              <w:rPr/>
              <w:t>FIRST UNION NATIONAL BANK</w:t>
            </w:r>
          </w:p>
          <w:p>
            <w:pPr>
              <w:pStyle w:val="Normal"/>
              <w:keepNext w:val="true"/>
              <w:spacing w:lineRule="exact" w:line="240"/>
              <w:jc w:val="both"/>
              <w:rPr>
                <w:sz w:val="22"/>
              </w:rPr>
            </w:pPr>
            <w:r>
              <w:rPr>
                <w:sz w:val="22"/>
              </w:rPr>
            </w:r>
          </w:p>
          <w:p>
            <w:pPr>
              <w:pStyle w:val="Normal"/>
              <w:keepNext w:val="true"/>
              <w:spacing w:lineRule="exact" w:line="240"/>
              <w:jc w:val="both"/>
              <w:rPr>
                <w:sz w:val="22"/>
              </w:rPr>
            </w:pPr>
            <w:r>
              <w:rPr>
                <w:sz w:val="22"/>
              </w:rPr>
            </w:r>
          </w:p>
          <w:p>
            <w:pPr>
              <w:pStyle w:val="Normal"/>
              <w:keepNext w:val="true"/>
              <w:spacing w:lineRule="exact" w:line="240"/>
              <w:jc w:val="both"/>
              <w:rPr/>
            </w:pPr>
            <w:r>
              <w:rPr>
                <w:sz w:val="22"/>
              </w:rPr>
              <w:t>By:</w:t>
              <w:tab/>
            </w:r>
            <w:r>
              <w:rPr>
                <w:sz w:val="22"/>
                <w:u w:val="single"/>
              </w:rPr>
              <w:tab/>
              <w:tab/>
              <w:tab/>
              <w:tab/>
              <w:tab/>
            </w:r>
          </w:p>
          <w:p>
            <w:pPr>
              <w:pStyle w:val="Normal"/>
              <w:keepNext w:val="true"/>
              <w:spacing w:lineRule="exact" w:line="240"/>
              <w:jc w:val="both"/>
              <w:rPr>
                <w:sz w:val="22"/>
              </w:rPr>
            </w:pPr>
            <w:r>
              <w:rPr>
                <w:sz w:val="22"/>
              </w:rPr>
              <w:t>Name:</w:t>
              <w:tab/>
            </w:r>
            <w:r>
              <w:rPr>
                <w:sz w:val="22"/>
                <w:u w:val="single"/>
              </w:rPr>
              <w:tab/>
              <w:tab/>
              <w:tab/>
              <w:tab/>
              <w:tab/>
            </w:r>
          </w:p>
          <w:p>
            <w:pPr>
              <w:pStyle w:val="Normal"/>
              <w:keepNext w:val="true"/>
              <w:spacing w:lineRule="exact" w:line="240"/>
              <w:jc w:val="both"/>
              <w:rPr/>
            </w:pPr>
            <w:r>
              <w:rPr>
                <w:sz w:val="22"/>
              </w:rPr>
              <w:t>Title:</w:t>
              <w:tab/>
            </w:r>
            <w:r>
              <w:rPr>
                <w:sz w:val="22"/>
                <w:u w:val="single"/>
              </w:rPr>
              <w:tab/>
              <w:tab/>
              <w:tab/>
              <w:tab/>
              <w:tab/>
            </w:r>
          </w:p>
          <w:p>
            <w:pPr>
              <w:pStyle w:val="Normal"/>
              <w:keepNext w:val="true"/>
              <w:spacing w:lineRule="exact" w:line="240"/>
              <w:jc w:val="both"/>
              <w:rPr>
                <w:sz w:val="22"/>
              </w:rPr>
            </w:pPr>
            <w:r>
              <w:rPr>
                <w:sz w:val="22"/>
              </w:rPr>
              <w:t xml:space="preserve">Date:     </w:t>
            </w:r>
            <w:r>
              <w:rPr>
                <w:sz w:val="22"/>
                <w:u w:val="single"/>
              </w:rPr>
              <w:tab/>
              <w:tab/>
              <w:tab/>
              <w:tab/>
              <w:tab/>
            </w:r>
          </w:p>
        </w:tc>
      </w:tr>
    </w:tbl>
    <w:p>
      <w:pPr>
        <w:pStyle w:val="Normal"/>
        <w:tabs>
          <w:tab w:val="clear" w:pos="720"/>
          <w:tab w:val="left" w:pos="2880" w:leader="none"/>
        </w:tabs>
        <w:spacing w:lineRule="exact" w:line="240"/>
        <w:ind w:hanging="2880" w:start="2880" w:end="0"/>
        <w:jc w:val="both"/>
        <w:rPr/>
      </w:pPr>
      <w:r>
        <w:rPr/>
      </w:r>
    </w:p>
    <w:sectPr>
      <w:footerReference w:type="default" r:id="rId2"/>
      <w:type w:val="nextPage"/>
      <w:pgSz w:w="12240" w:h="15840"/>
      <w:pgMar w:left="1440" w:right="144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0" w:characterSet="windows-1252"/>
    <w:family w:val="roman"/>
    <w:pitch w:val="variable"/>
  </w:font>
  <w:font w:name="Arial">
    <w:charset w:val="00" w:characterSet="windows-1252"/>
    <w:family w:val="swiss"/>
    <w:pitch w:val="variable"/>
  </w:font>
  <w:font w:name="Liberation Sans">
    <w:altName w:val="Arial"/>
    <w:charset w:val="01" w:characterSet="utf-8"/>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O:\Legal\Sbailey\Ctr\184actr(enron-firstunion).doc</w:t>
    </w:r>
  </w:p>
  <w:p>
    <w:pPr>
      <w:pStyle w:val="Footer"/>
      <w:jc w:val="center"/>
      <w:rPr/>
    </w:pPr>
    <w:r>
      <w:rPr>
        <w:sz w:val="20"/>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Times New Roman" w:hAnsi="Times New Roman;Times New Roman" w:eastAsia="Times New Roman;Times New Roman" w:cs="Times New Roman;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bCs/>
      <w:color w:val="0000FF"/>
      <w:sz w:val="22"/>
      <w:szCs w:val="22"/>
    </w:rPr>
  </w:style>
  <w:style w:type="paragraph" w:styleId="Heading2">
    <w:name w:val="heading 2"/>
    <w:basedOn w:val="Normal"/>
    <w:next w:val="BodyText"/>
    <w:qFormat/>
    <w:pPr>
      <w:widowControl w:val="false"/>
      <w:numPr>
        <w:ilvl w:val="1"/>
        <w:numId w:val="1"/>
      </w:numPr>
      <w:spacing w:before="0" w:after="240"/>
      <w:ind w:firstLine="720" w:start="0" w:end="0"/>
      <w:jc w:val="both"/>
      <w:outlineLvl w:val="1"/>
    </w:pPr>
    <w:rPr>
      <w:rFonts w:ascii="Arial;Arial" w:hAnsi="Arial;Arial" w:cs="Arial;Arial"/>
    </w:rPr>
  </w:style>
  <w:style w:type="paragraph" w:styleId="Heading3">
    <w:name w:val="heading 3"/>
    <w:basedOn w:val="Normal"/>
    <w:next w:val="Normal"/>
    <w:qFormat/>
    <w:pPr>
      <w:keepNext w:val="true"/>
      <w:numPr>
        <w:ilvl w:val="2"/>
        <w:numId w:val="1"/>
      </w:numPr>
      <w:tabs>
        <w:tab w:val="clear" w:pos="720"/>
        <w:tab w:val="left" w:pos="9810" w:leader="none"/>
      </w:tabs>
      <w:ind w:hanging="0" w:start="-1440" w:end="0"/>
      <w:jc w:val="end"/>
      <w:outlineLvl w:val="2"/>
    </w:pPr>
    <w:rPr>
      <w:b/>
      <w:bCs/>
      <w:sz w:val="22"/>
      <w:szCs w:val="22"/>
    </w:rPr>
  </w:style>
  <w:style w:type="paragraph" w:styleId="Heading4">
    <w:name w:val="heading 4"/>
    <w:basedOn w:val="Normal"/>
    <w:next w:val="Normal"/>
    <w:qFormat/>
    <w:pPr>
      <w:keepNext w:val="true"/>
      <w:numPr>
        <w:ilvl w:val="3"/>
        <w:numId w:val="1"/>
      </w:numPr>
      <w:tabs>
        <w:tab w:val="clear" w:pos="720"/>
        <w:tab w:val="left" w:pos="1080" w:leader="none"/>
      </w:tabs>
      <w:spacing w:lineRule="exact" w:line="480"/>
      <w:jc w:val="both"/>
      <w:outlineLvl w:val="3"/>
    </w:pPr>
    <w:rPr>
      <w:b/>
      <w:bCs/>
      <w:sz w:val="22"/>
      <w:szCs w:val="22"/>
    </w:rPr>
  </w:style>
  <w:style w:type="paragraph" w:styleId="Heading5">
    <w:name w:val="heading 5"/>
    <w:basedOn w:val="Normal"/>
    <w:next w:val="Normal"/>
    <w:qFormat/>
    <w:pPr>
      <w:keepNext w:val="true"/>
      <w:numPr>
        <w:ilvl w:val="4"/>
        <w:numId w:val="1"/>
      </w:numPr>
      <w:jc w:val="end"/>
      <w:outlineLvl w:val="4"/>
    </w:pPr>
    <w:rPr>
      <w:b/>
      <w:bCs/>
      <w:sz w:val="22"/>
      <w:szCs w:val="22"/>
      <w:u w:val="single"/>
    </w:rPr>
  </w:style>
  <w:style w:type="character" w:styleId="WW8Num4z0">
    <w:name w:val="WW8Num4z0"/>
    <w:qFormat/>
    <w:rPr/>
  </w:style>
  <w:style w:type="character" w:styleId="WW8Num6z0">
    <w:name w:val="WW8Num6z0"/>
    <w:qFormat/>
    <w:rPr/>
  </w:style>
  <w:style w:type="character" w:styleId="WW8Num7z0">
    <w:name w:val="WW8Num7z0"/>
    <w:qFormat/>
    <w:rPr/>
  </w:style>
  <w:style w:type="character" w:styleId="WW8Num8z0">
    <w:name w:val="WW8Num8z0"/>
    <w:qFormat/>
    <w:rPr>
      <w:sz w:val="20"/>
      <w:szCs w:val="20"/>
    </w:rPr>
  </w:style>
  <w:style w:type="character" w:styleId="WW8Num11z0">
    <w:name w:val="WW8Num11z0"/>
    <w:qFormat/>
    <w:rPr/>
  </w:style>
  <w:style w:type="character" w:styleId="WW8Num13z0">
    <w:name w:val="WW8Num13z0"/>
    <w:qFormat/>
    <w:rPr/>
  </w:style>
  <w:style w:type="character" w:styleId="WW8Num15z0">
    <w:name w:val="WW8Num15z0"/>
    <w:qFormat/>
    <w:rPr>
      <w:sz w:val="22"/>
      <w:szCs w:val="22"/>
    </w:rPr>
  </w:style>
  <w:style w:type="character" w:styleId="WW8Num17z0">
    <w:name w:val="WW8Num17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color w:val="000000"/>
    </w:rPr>
  </w:style>
  <w:style w:type="character" w:styleId="WW8Num26z0">
    <w:name w:val="WW8Num26z0"/>
    <w:qFormat/>
    <w:rPr/>
  </w:style>
  <w:style w:type="character" w:styleId="DefaultParagraphFont">
    <w:name w:val="Default Paragraph Font"/>
    <w:qFormat/>
    <w:rPr/>
  </w:style>
  <w:style w:type="character" w:styleId="FootnoteCharacters">
    <w:name w:val="Footnote Characters"/>
    <w:basedOn w:val="DefaultParagraphFont"/>
    <w:qFormat/>
    <w:rPr>
      <w:sz w:val="16"/>
      <w:szCs w:val="16"/>
      <w:vertAlign w:val="superscript"/>
    </w:rPr>
  </w:style>
  <w:style w:type="character" w:styleId="PageNumber">
    <w:name w:val="page number"/>
    <w:basedOn w:val="DefaultParagraphFont"/>
    <w:rPr>
      <w:sz w:val="22"/>
      <w:szCs w:val="22"/>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pPr>
    <w:rPr>
      <w:sz w:val="22"/>
      <w:szCs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3">
    <w:name w:val="Body Text 3"/>
    <w:basedOn w:val="Normal"/>
    <w:qFormat/>
    <w:pPr>
      <w:spacing w:before="0" w:after="120"/>
      <w:jc w:val="center"/>
    </w:pPr>
    <w:rPr>
      <w:b/>
      <w:bCs/>
      <w:sz w:val="22"/>
      <w:szCs w:val="22"/>
    </w:rPr>
  </w:style>
  <w:style w:type="paragraph" w:styleId="BodyTextIndent3">
    <w:name w:val="Body Text Indent 3"/>
    <w:basedOn w:val="Normal"/>
    <w:qFormat/>
    <w:pPr>
      <w:widowControl w:val="false"/>
      <w:spacing w:lineRule="exact" w:line="240"/>
      <w:ind w:firstLine="720" w:start="720" w:end="0"/>
      <w:jc w:val="both"/>
    </w:pPr>
    <w:rPr>
      <w:sz w:val="22"/>
      <w:szCs w:val="22"/>
    </w:rPr>
  </w:style>
  <w:style w:type="paragraph" w:styleId="Justified">
    <w:name w:val="Justified"/>
    <w:basedOn w:val="Normal"/>
    <w:next w:val="Heading2"/>
    <w:qFormat/>
    <w:pPr>
      <w:widowControl w:val="false"/>
      <w:spacing w:before="0" w:after="120"/>
      <w:jc w:val="both"/>
    </w:pPr>
    <w:rPr>
      <w:rFonts w:ascii="Arial;Arial" w:hAnsi="Arial;Arial" w:cs="Arial;Arial"/>
      <w:sz w:val="22"/>
      <w:szCs w:val="22"/>
    </w:rPr>
  </w:style>
  <w:style w:type="paragraph" w:styleId="BodyTextIndent">
    <w:name w:val="Body Text Indent"/>
    <w:basedOn w:val="Normal"/>
    <w:pPr>
      <w:spacing w:lineRule="exact" w:line="240" w:before="240" w:after="0"/>
      <w:ind w:hanging="0" w:start="720" w:end="0"/>
      <w:jc w:val="both"/>
    </w:pPr>
    <w:rPr>
      <w:sz w:val="22"/>
      <w:szCs w:val="22"/>
    </w:rPr>
  </w:style>
  <w:style w:type="paragraph" w:styleId="BodyTextIndent2">
    <w:name w:val="Body Text Indent 2"/>
    <w:basedOn w:val="Normal"/>
    <w:qFormat/>
    <w:pPr>
      <w:widowControl w:val="false"/>
      <w:tabs>
        <w:tab w:val="clear" w:pos="720"/>
        <w:tab w:val="left" w:pos="1350" w:leader="none"/>
      </w:tabs>
      <w:ind w:firstLine="720" w:start="0" w:end="0"/>
      <w:jc w:val="both"/>
    </w:pPr>
    <w:rPr>
      <w:rFonts w:ascii="Tms Rmn" w:hAnsi="Tms Rmn" w:cs="Tms Rmn"/>
      <w:sz w:val="22"/>
      <w:szCs w:val="22"/>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widowControl w:val="false"/>
      <w:tabs>
        <w:tab w:val="clear" w:pos="720"/>
        <w:tab w:val="center" w:pos="4320" w:leader="none"/>
        <w:tab w:val="right" w:pos="8640" w:leader="none"/>
      </w:tabs>
    </w:pPr>
    <w:rPr>
      <w:sz w:val="22"/>
      <w:szCs w:val="22"/>
    </w:rPr>
  </w:style>
  <w:style w:type="paragraph" w:styleId="Footer">
    <w:name w:val="footer"/>
    <w:basedOn w:val="Normal"/>
    <w:pPr>
      <w:widowControl w:val="false"/>
      <w:tabs>
        <w:tab w:val="clear" w:pos="720"/>
        <w:tab w:val="center" w:pos="4320" w:leader="none"/>
        <w:tab w:val="right" w:pos="8640" w:leader="none"/>
      </w:tabs>
    </w:pPr>
    <w:rPr>
      <w:sz w:val="22"/>
      <w:szCs w:val="22"/>
    </w:rPr>
  </w:style>
  <w:style w:type="paragraph" w:styleId="FootnoteText">
    <w:name w:val="footnote text"/>
    <w:basedOn w:val="Normal"/>
    <w:pPr>
      <w:widowControl w:val="false"/>
    </w:pPr>
    <w:rPr>
      <w:sz w:val="22"/>
      <w:szCs w:val="22"/>
    </w:rPr>
  </w:style>
  <w:style w:type="paragraph" w:styleId="BlockText">
    <w:name w:val="Block Text"/>
    <w:basedOn w:val="Normal"/>
    <w:qFormat/>
    <w:pPr>
      <w:ind w:firstLine="720" w:start="720" w:end="720"/>
      <w:jc w:val="both"/>
    </w:pPr>
    <w:rPr>
      <w:sz w:val="22"/>
      <w:szCs w:val="22"/>
    </w:rPr>
  </w:style>
  <w:style w:type="paragraph" w:styleId="BodyText2">
    <w:name w:val="Body Text 2"/>
    <w:basedOn w:val="Normal"/>
    <w:qFormat/>
    <w:pPr>
      <w:jc w:val="both"/>
    </w:pPr>
    <w:rPr/>
  </w:style>
  <w:style w:type="paragraph" w:styleId="Expanded">
    <w:name w:val="Expanded"/>
    <w:basedOn w:val="Normal"/>
    <w:next w:val="Normal"/>
    <w:qFormat/>
    <w:pPr>
      <w:spacing w:before="0" w:after="240"/>
      <w:jc w:val="center"/>
    </w:pPr>
    <w:rPr>
      <w:b/>
      <w:bCs/>
      <w:caps/>
      <w:spacing w:val="60"/>
      <w:sz w:val="22"/>
      <w:szCs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2001-07-23T11:15:00Z</dcterms:created>
  <dc:creator>mheard</dc:creator>
  <dc:description/>
  <dc:language>en-CA</dc:language>
  <cp:lastModifiedBy>a0211972</cp:lastModifiedBy>
  <cp:lastPrinted>2001-07-26T17:18:00Z</cp:lastPrinted>
  <dcterms:modified xsi:type="dcterms:W3CDTF">2001-08-01T16:38:00Z</dcterms:modified>
  <cp:revision>29</cp:revision>
  <dc:subject/>
  <dc:title>ISDA Multicurrency Agreement</dc:title>
</cp:coreProperties>
</file>