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i/>
        </w:rPr>
        <w:drawing>
          <wp:inline distT="0" distB="0" distL="0" distR="0">
            <wp:extent cx="1240790" cy="11125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9" t="-32" r="-29" b="-32"/>
                    <a:stretch>
                      <a:fillRect/>
                    </a:stretch>
                  </pic:blipFill>
                  <pic:spPr bwMode="auto">
                    <a:xfrm>
                      <a:off x="0" y="0"/>
                      <a:ext cx="1240790" cy="1112520"/>
                    </a:xfrm>
                    <a:prstGeom prst="rect">
                      <a:avLst/>
                    </a:prstGeom>
                    <a:noFill/>
                  </pic:spPr>
                </pic:pic>
              </a:graphicData>
            </a:graphic>
          </wp:inline>
        </w:drawing>
      </w:r>
      <w:r>
        <w:rPr>
          <w:b/>
          <w:i/>
          <w:sz w:val="28"/>
        </w:rPr>
        <w:t>The Power to Deliver</w:t>
      </w:r>
      <w:r>
        <w:rPr/>
        <w:tab/>
        <w:tab/>
      </w:r>
    </w:p>
    <w:p>
      <w:pPr>
        <w:pStyle w:val="Normal"/>
        <w:ind w:hanging="1800" w:start="1800" w:end="0"/>
        <w:rPr>
          <w:b/>
          <w:i/>
          <w:i/>
          <w:sz w:val="24"/>
        </w:rPr>
      </w:pPr>
      <w:r>
        <w:rPr>
          <w:b/>
          <w:i/>
          <w:sz w:val="24"/>
        </w:rPr>
      </w:r>
    </w:p>
    <w:p>
      <w:pPr>
        <w:pStyle w:val="Heading3"/>
        <w:rPr/>
      </w:pPr>
      <w:r>
        <w:rPr/>
        <w:t>CONFIDENTIAL</w:t>
      </w:r>
    </w:p>
    <w:p>
      <w:pPr>
        <w:pStyle w:val="Normal"/>
        <w:ind w:hanging="1800" w:start="1800" w:end="0"/>
        <w:jc w:val="center"/>
        <w:rPr>
          <w:sz w:val="24"/>
        </w:rPr>
      </w:pPr>
      <w:r>
        <w:rPr>
          <w:sz w:val="24"/>
        </w:rPr>
      </w:r>
    </w:p>
    <w:p>
      <w:pPr>
        <w:pStyle w:val="Normal"/>
        <w:ind w:hanging="1800" w:start="1800" w:end="0"/>
        <w:jc w:val="center"/>
        <w:rPr>
          <w:sz w:val="24"/>
        </w:rPr>
      </w:pPr>
      <w:r>
        <w:rPr>
          <w:sz w:val="24"/>
        </w:rPr>
        <w:t>December 6, 2000</w:t>
      </w:r>
    </w:p>
    <w:p>
      <w:pPr>
        <w:pStyle w:val="Normal"/>
        <w:ind w:hanging="1800" w:start="1800" w:end="0"/>
        <w:jc w:val="center"/>
        <w:rPr>
          <w:sz w:val="24"/>
        </w:rPr>
      </w:pPr>
      <w:r>
        <w:rPr>
          <w:sz w:val="24"/>
        </w:rPr>
        <w:t>(Via Fax)</w:t>
      </w:r>
    </w:p>
    <w:p>
      <w:pPr>
        <w:pStyle w:val="Normal"/>
        <w:ind w:hanging="1800" w:start="1800" w:end="0"/>
        <w:rPr>
          <w:sz w:val="24"/>
        </w:rPr>
      </w:pPr>
      <w:r>
        <w:rPr>
          <w:sz w:val="24"/>
        </w:rPr>
      </w:r>
    </w:p>
    <w:p>
      <w:pPr>
        <w:pStyle w:val="Normal"/>
        <w:ind w:hanging="1800" w:start="1800" w:end="0"/>
        <w:rPr>
          <w:sz w:val="24"/>
        </w:rPr>
      </w:pPr>
      <w:r>
        <w:rPr>
          <w:sz w:val="24"/>
        </w:rPr>
      </w:r>
    </w:p>
    <w:p>
      <w:pPr>
        <w:pStyle w:val="Normal"/>
        <w:ind w:hanging="1800" w:start="1800" w:end="0"/>
        <w:rPr>
          <w:sz w:val="24"/>
        </w:rPr>
      </w:pPr>
      <w:r>
        <w:rPr>
          <w:sz w:val="24"/>
        </w:rPr>
        <w:t>Terri Clynes</w:t>
      </w:r>
    </w:p>
    <w:p>
      <w:pPr>
        <w:pStyle w:val="Normal"/>
        <w:ind w:hanging="1800" w:start="1800" w:end="0"/>
        <w:rPr>
          <w:sz w:val="24"/>
        </w:rPr>
      </w:pPr>
      <w:r>
        <w:rPr>
          <w:sz w:val="24"/>
        </w:rPr>
        <w:t>Enron Power Marketing, Inc.</w:t>
        <w:tab/>
        <w:tab/>
      </w:r>
    </w:p>
    <w:p>
      <w:pPr>
        <w:pStyle w:val="Normal"/>
        <w:ind w:hanging="1800" w:start="1800" w:end="0"/>
        <w:rPr>
          <w:sz w:val="24"/>
        </w:rPr>
      </w:pPr>
      <w:r>
        <w:rPr>
          <w:sz w:val="24"/>
        </w:rPr>
        <w:t>1400 Smith Street</w:t>
      </w:r>
    </w:p>
    <w:p>
      <w:pPr>
        <w:pStyle w:val="Normal"/>
        <w:ind w:hanging="1800" w:start="1800" w:end="0"/>
        <w:rPr>
          <w:sz w:val="24"/>
        </w:rPr>
      </w:pPr>
      <w:r>
        <w:rPr>
          <w:sz w:val="24"/>
        </w:rPr>
        <w:t>Houston, Texas  77002</w:t>
      </w:r>
    </w:p>
    <w:p>
      <w:pPr>
        <w:pStyle w:val="Normal"/>
        <w:ind w:hanging="1800" w:start="1800" w:end="0"/>
        <w:rPr>
          <w:sz w:val="24"/>
        </w:rPr>
      </w:pPr>
      <w:r>
        <w:rPr>
          <w:sz w:val="24"/>
        </w:rPr>
        <w:t>Fax:  713/646-8272</w:t>
      </w:r>
    </w:p>
    <w:p>
      <w:pPr>
        <w:pStyle w:val="Normal"/>
        <w:ind w:hanging="1800" w:start="1800" w:end="0"/>
        <w:rPr>
          <w:sz w:val="24"/>
        </w:rPr>
      </w:pPr>
      <w:r>
        <w:rPr>
          <w:sz w:val="24"/>
        </w:rPr>
      </w:r>
    </w:p>
    <w:p>
      <w:pPr>
        <w:pStyle w:val="Normal"/>
        <w:ind w:hanging="1800" w:start="1800" w:end="0"/>
        <w:jc w:val="center"/>
        <w:rPr>
          <w:b/>
          <w:sz w:val="24"/>
          <w:u w:val="single"/>
        </w:rPr>
      </w:pPr>
      <w:r>
        <w:rPr>
          <w:b/>
          <w:sz w:val="24"/>
          <w:u w:val="single"/>
        </w:rPr>
        <w:t>CONFIRMATION AGREEMENT</w:t>
      </w:r>
    </w:p>
    <w:p>
      <w:pPr>
        <w:pStyle w:val="Normal"/>
        <w:ind w:hanging="1800" w:start="1800" w:end="0"/>
        <w:rPr>
          <w:b/>
          <w:sz w:val="24"/>
          <w:u w:val="single"/>
        </w:rPr>
      </w:pPr>
      <w:r>
        <w:rPr>
          <w:b/>
          <w:sz w:val="24"/>
          <w:u w:val="single"/>
        </w:rPr>
      </w:r>
    </w:p>
    <w:p>
      <w:pPr>
        <w:pStyle w:val="Normal"/>
        <w:rPr>
          <w:sz w:val="24"/>
        </w:rPr>
      </w:pPr>
      <w:r>
        <w:rPr>
          <w:sz w:val="24"/>
        </w:rPr>
        <w:t>This confirmation Agreement (“Agreement”) shall confirm the agreement reached on December 1, 2000 between Minnesota Power (“MP”) and Enron Power Marketing Inc (EPMI) (each individually a “Party” and collectively the “Parties”) under the terms and conditions that follow:</w:t>
      </w:r>
    </w:p>
    <w:p>
      <w:pPr>
        <w:pStyle w:val="Normal"/>
        <w:ind w:hanging="1800" w:start="1800" w:end="0"/>
        <w:rPr>
          <w:sz w:val="24"/>
        </w:rPr>
      </w:pPr>
      <w:r>
        <w:rPr>
          <w:sz w:val="24"/>
        </w:rPr>
      </w:r>
    </w:p>
    <w:p>
      <w:pPr>
        <w:pStyle w:val="Heading1"/>
        <w:rPr/>
      </w:pPr>
      <w:r>
        <w:rPr/>
        <w:t>Selling Party:</w:t>
        <w:tab/>
        <w:t>MP</w:t>
      </w:r>
    </w:p>
    <w:p>
      <w:pPr>
        <w:pStyle w:val="Normal"/>
        <w:ind w:hanging="1800" w:start="1800" w:end="0"/>
        <w:rPr>
          <w:sz w:val="24"/>
        </w:rPr>
      </w:pPr>
      <w:r>
        <w:rPr>
          <w:sz w:val="24"/>
        </w:rPr>
      </w:r>
    </w:p>
    <w:p>
      <w:pPr>
        <w:pStyle w:val="Normal"/>
        <w:ind w:hanging="1800" w:start="1800" w:end="0"/>
        <w:rPr>
          <w:sz w:val="24"/>
        </w:rPr>
      </w:pPr>
      <w:r>
        <w:rPr>
          <w:sz w:val="24"/>
        </w:rPr>
        <w:t>Purchasing Party:</w:t>
        <w:tab/>
        <w:t>EPMI</w:t>
      </w:r>
    </w:p>
    <w:p>
      <w:pPr>
        <w:pStyle w:val="Normal"/>
        <w:ind w:hanging="1800" w:start="1800" w:end="0"/>
        <w:rPr>
          <w:sz w:val="24"/>
          <w:u w:val="single"/>
        </w:rPr>
      </w:pPr>
      <w:r>
        <w:rPr>
          <w:sz w:val="24"/>
          <w:u w:val="single"/>
        </w:rPr>
      </w:r>
    </w:p>
    <w:p>
      <w:pPr>
        <w:pStyle w:val="Normal"/>
        <w:ind w:hanging="1800" w:start="1800" w:end="0"/>
        <w:rPr>
          <w:sz w:val="24"/>
        </w:rPr>
      </w:pPr>
      <w:r>
        <w:rPr>
          <w:sz w:val="24"/>
        </w:rPr>
        <w:t xml:space="preserve">Governing </w:t>
      </w:r>
    </w:p>
    <w:p>
      <w:pPr>
        <w:pStyle w:val="Normal"/>
        <w:ind w:hanging="1800" w:start="1800" w:end="0"/>
        <w:rPr>
          <w:sz w:val="24"/>
        </w:rPr>
      </w:pPr>
      <w:r>
        <w:rPr>
          <w:sz w:val="24"/>
        </w:rPr>
        <w:t>Agreement:</w:t>
        <w:tab/>
        <w:t>MP’s Wholesale Coordination Sales Agreement #2 (“WCS-2”) under which EPMI is a customer, the WCS-2 Short Term Transaction Service Agreement dated as of April 25, 1997 between MP and EPMI (the “Service Agreement”), and the terms of this transaction.</w:t>
      </w:r>
    </w:p>
    <w:p>
      <w:pPr>
        <w:pStyle w:val="Normal"/>
        <w:ind w:hanging="1800" w:start="1800" w:end="0"/>
        <w:rPr>
          <w:sz w:val="24"/>
          <w:u w:val="single"/>
        </w:rPr>
      </w:pPr>
      <w:r>
        <w:rPr>
          <w:sz w:val="24"/>
          <w:u w:val="single"/>
        </w:rPr>
      </w:r>
    </w:p>
    <w:p>
      <w:pPr>
        <w:pStyle w:val="Normal"/>
        <w:ind w:hanging="1800" w:start="1800" w:end="0"/>
        <w:rPr>
          <w:sz w:val="24"/>
        </w:rPr>
      </w:pPr>
      <w:r>
        <w:rPr>
          <w:sz w:val="24"/>
        </w:rPr>
        <w:t>Transaction Type:</w:t>
        <w:tab/>
        <w:t>System Participation Power – equivalent to Mid-Continent Area Power Pool (MAPP) Service Schedule K.  System Participation Power is capacity accredited by MAPP (excluding reserves) and associated energy intended to be available at all times, subject to the scheduling provisions contained herein.</w:t>
      </w:r>
    </w:p>
    <w:p>
      <w:pPr>
        <w:pStyle w:val="Normal"/>
        <w:ind w:hanging="1800" w:start="1800" w:end="0"/>
        <w:rPr>
          <w:sz w:val="24"/>
        </w:rPr>
      </w:pPr>
      <w:r>
        <w:rPr>
          <w:sz w:val="24"/>
        </w:rPr>
      </w:r>
    </w:p>
    <w:p>
      <w:pPr>
        <w:pStyle w:val="Normal"/>
        <w:ind w:hanging="1800" w:start="1800" w:end="0"/>
        <w:rPr>
          <w:sz w:val="24"/>
        </w:rPr>
      </w:pPr>
      <w:r>
        <w:rPr>
          <w:sz w:val="24"/>
        </w:rPr>
        <w:t>Contract Term:</w:t>
        <w:tab/>
        <w:t xml:space="preserve">Tuesday, May 1, 2001 through Tuesday, October 31, 2001 </w:t>
      </w:r>
    </w:p>
    <w:p>
      <w:pPr>
        <w:pStyle w:val="Normal"/>
        <w:ind w:hanging="1800" w:start="1800" w:end="0"/>
        <w:rPr>
          <w:sz w:val="24"/>
        </w:rPr>
      </w:pPr>
      <w:r>
        <w:rPr>
          <w:sz w:val="24"/>
        </w:rPr>
      </w:r>
    </w:p>
    <w:p>
      <w:pPr>
        <w:pStyle w:val="Normal"/>
        <w:ind w:hanging="1800" w:start="1800" w:end="0"/>
        <w:rPr>
          <w:sz w:val="24"/>
        </w:rPr>
      </w:pPr>
      <w:r>
        <w:rPr>
          <w:sz w:val="24"/>
        </w:rPr>
        <w:t>Delivery Period:</w:t>
        <w:tab/>
        <w:t>A fixed schedule for the Contract Amount for Hour End 0700 through Hour End 2200 (Central Prevailing Time), Monday through Friday (5x16) only, excluding NERC Holidays; Memorial Day, Independence Day, and Labor Day.</w:t>
      </w:r>
    </w:p>
    <w:p>
      <w:pPr>
        <w:pStyle w:val="Normal"/>
        <w:ind w:hanging="1800" w:start="1800" w:end="0"/>
        <w:rPr>
          <w:sz w:val="24"/>
        </w:rPr>
      </w:pPr>
      <w:r>
        <w:rPr>
          <w:sz w:val="24"/>
        </w:rPr>
      </w:r>
    </w:p>
    <w:p>
      <w:pPr>
        <w:pStyle w:val="Normal"/>
        <w:ind w:hanging="1800" w:start="1800" w:end="0"/>
        <w:rPr>
          <w:sz w:val="24"/>
        </w:rPr>
      </w:pPr>
      <w:r>
        <w:rPr>
          <w:sz w:val="24"/>
        </w:rPr>
        <w:t>Quantity:</w:t>
        <w:tab/>
        <w:t>50 MW</w:t>
      </w:r>
    </w:p>
    <w:p>
      <w:pPr>
        <w:pStyle w:val="Normal"/>
        <w:ind w:hanging="1800" w:start="1800" w:end="0"/>
        <w:rPr>
          <w:sz w:val="24"/>
          <w:u w:val="single"/>
        </w:rPr>
      </w:pPr>
      <w:r>
        <w:rPr>
          <w:sz w:val="24"/>
          <w:u w:val="single"/>
        </w:rPr>
      </w:r>
    </w:p>
    <w:p>
      <w:pPr>
        <w:pStyle w:val="Normal"/>
        <w:ind w:hanging="1800" w:start="1800" w:end="0"/>
        <w:rPr>
          <w:sz w:val="24"/>
        </w:rPr>
      </w:pPr>
      <w:r>
        <w:rPr>
          <w:sz w:val="24"/>
        </w:rPr>
        <w:t>Demand Charge:</w:t>
        <w:tab/>
        <w:t>$4,666.67 MW-Month</w:t>
      </w:r>
    </w:p>
    <w:p>
      <w:pPr>
        <w:pStyle w:val="Normal"/>
        <w:ind w:hanging="1800" w:start="1800" w:end="0"/>
        <w:rPr>
          <w:sz w:val="24"/>
        </w:rPr>
      </w:pPr>
      <w:r>
        <w:rPr>
          <w:sz w:val="24"/>
        </w:rPr>
        <w:tab/>
      </w:r>
    </w:p>
    <w:p>
      <w:pPr>
        <w:pStyle w:val="Normal"/>
        <w:ind w:hanging="1800" w:start="1800" w:end="0"/>
        <w:rPr>
          <w:sz w:val="24"/>
        </w:rPr>
      </w:pPr>
      <w:r>
        <w:rPr>
          <w:sz w:val="24"/>
        </w:rPr>
        <w:t xml:space="preserve">Point of </w:t>
      </w:r>
    </w:p>
    <w:p>
      <w:pPr>
        <w:pStyle w:val="Normal"/>
        <w:ind w:hanging="1800" w:start="1800" w:end="0"/>
        <w:rPr>
          <w:sz w:val="24"/>
        </w:rPr>
      </w:pPr>
      <w:r>
        <w:rPr>
          <w:sz w:val="24"/>
        </w:rPr>
        <w:t>Delivery(s):</w:t>
        <w:tab/>
        <w:t>UPA Dickinson Substation or Sherco Generation Busbar</w:t>
      </w:r>
    </w:p>
    <w:p>
      <w:pPr>
        <w:pStyle w:val="Normal"/>
        <w:ind w:hanging="1800" w:start="1800" w:end="0"/>
        <w:rPr>
          <w:sz w:val="24"/>
        </w:rPr>
      </w:pPr>
      <w:r>
        <w:rPr>
          <w:sz w:val="24"/>
        </w:rPr>
      </w:r>
    </w:p>
    <w:p>
      <w:pPr>
        <w:pStyle w:val="Normal"/>
        <w:ind w:hanging="1800" w:start="1800" w:end="0"/>
        <w:rPr>
          <w:sz w:val="24"/>
        </w:rPr>
      </w:pPr>
      <w:r>
        <w:rPr>
          <w:sz w:val="24"/>
        </w:rPr>
        <w:t>Energy Charge:</w:t>
        <w:tab/>
        <w:t xml:space="preserve">$64/MWH  for hours identified in the Delivery Period.  </w:t>
      </w:r>
    </w:p>
    <w:p>
      <w:pPr>
        <w:pStyle w:val="Normal"/>
        <w:ind w:hanging="1800" w:start="1800" w:end="0"/>
        <w:rPr>
          <w:sz w:val="24"/>
        </w:rPr>
      </w:pPr>
      <w:r>
        <w:rPr>
          <w:sz w:val="24"/>
        </w:rPr>
      </w:r>
    </w:p>
    <w:p>
      <w:pPr>
        <w:pStyle w:val="Normal"/>
        <w:ind w:hanging="1800" w:start="1800" w:end="0"/>
        <w:rPr>
          <w:sz w:val="24"/>
        </w:rPr>
      </w:pPr>
      <w:r>
        <w:rPr>
          <w:sz w:val="24"/>
        </w:rPr>
        <w:tab/>
        <w:t>All other hours available at market rate as quoted by the MPEX traders at the time of Enron’s request.</w:t>
      </w:r>
    </w:p>
    <w:p>
      <w:pPr>
        <w:pStyle w:val="Normal"/>
        <w:ind w:hanging="1800" w:start="1800" w:end="0"/>
        <w:rPr>
          <w:sz w:val="24"/>
        </w:rPr>
      </w:pPr>
      <w:r>
        <w:rPr>
          <w:sz w:val="24"/>
        </w:rPr>
      </w:r>
    </w:p>
    <w:p>
      <w:pPr>
        <w:pStyle w:val="Normal"/>
        <w:ind w:hanging="1800" w:start="1800" w:end="0"/>
        <w:rPr>
          <w:sz w:val="24"/>
        </w:rPr>
      </w:pPr>
      <w:r>
        <w:rPr>
          <w:sz w:val="24"/>
        </w:rPr>
        <w:t>Transmission:</w:t>
        <w:tab/>
        <w:t xml:space="preserve">EPMI shall pay all delivery costs to service this transaction from the POD(s) (including applicable MAPP administrative and transmission service charges) to EPMI’s final destination.  EPMI shall be responsible for arranging MAPP Firm Capacity Transmission Service (FCTS) necessary to deliver firm power from the POD(s) to EPMI’s final destination, including tagging and OASIS, in a timely manner for this transaction.  </w:t>
      </w:r>
    </w:p>
    <w:p>
      <w:pPr>
        <w:pStyle w:val="Normal"/>
        <w:ind w:hanging="1800" w:start="1800" w:end="0"/>
        <w:rPr>
          <w:sz w:val="24"/>
        </w:rPr>
      </w:pPr>
      <w:r>
        <w:rPr>
          <w:sz w:val="24"/>
        </w:rPr>
      </w:r>
    </w:p>
    <w:p>
      <w:pPr>
        <w:pStyle w:val="Normal"/>
        <w:ind w:start="1800" w:end="0"/>
        <w:rPr>
          <w:sz w:val="24"/>
        </w:rPr>
      </w:pPr>
      <w:r>
        <w:rPr>
          <w:sz w:val="24"/>
        </w:rPr>
        <w:t>In the event that this transaction is curtailed due to utilization of a non-firm transmission path, EPRI will pay the Energy Charge for the Delivery Period, as if the energy flowed.</w:t>
      </w:r>
    </w:p>
    <w:p>
      <w:pPr>
        <w:pStyle w:val="Normal"/>
        <w:ind w:hanging="1800" w:start="1800" w:end="0"/>
        <w:rPr>
          <w:sz w:val="24"/>
        </w:rPr>
      </w:pPr>
      <w:r>
        <w:rPr>
          <w:sz w:val="24"/>
        </w:rPr>
        <w:t xml:space="preserve"> </w:t>
      </w:r>
    </w:p>
    <w:p>
      <w:pPr>
        <w:pStyle w:val="Normal"/>
        <w:ind w:hanging="1800" w:start="1800" w:end="0"/>
        <w:rPr>
          <w:sz w:val="24"/>
        </w:rPr>
      </w:pPr>
      <w:r>
        <w:rPr>
          <w:sz w:val="24"/>
        </w:rPr>
        <w:t>Losses:</w:t>
        <w:tab/>
        <w:t>Energy losses incurred under the MAPP Loss Reimbursement Procedure (LRP) associated with transmitting energy from UPA Dickinson  to EPMI’s final destination shall be added to the Energy Charge.  The LRP loss percentage factors will change on a weekly basis (and are calculated by MAPPCOR staff).</w:t>
      </w:r>
    </w:p>
    <w:p>
      <w:pPr>
        <w:pStyle w:val="Normal"/>
        <w:ind w:hanging="270" w:start="270" w:end="0"/>
        <w:rPr>
          <w:sz w:val="24"/>
        </w:rPr>
      </w:pPr>
      <w:r>
        <w:rPr>
          <w:sz w:val="24"/>
        </w:rPr>
        <w:t xml:space="preserve">Repricing </w:t>
      </w:r>
    </w:p>
    <w:p>
      <w:pPr>
        <w:pStyle w:val="Normal"/>
        <w:ind w:hanging="1800" w:start="1800" w:end="0"/>
        <w:rPr>
          <w:sz w:val="24"/>
        </w:rPr>
      </w:pPr>
      <w:r>
        <w:rPr>
          <w:sz w:val="24"/>
        </w:rPr>
        <w:t>Provisions:</w:t>
        <w:tab/>
        <w:t xml:space="preserve">In the event that Split Rock has a forced outage or forced derate of 150 MW due to a loss of Coal Creek 1, Coal Creek 2, Boswell 3, Boswell 4, and/or Young 2, MPEX shall have the right to reprice the energy to reflect then current MAPP market prices.  EPRI shall have the right to decline the repriced MWH’s during these repriced hours. </w:t>
      </w:r>
    </w:p>
    <w:p>
      <w:pPr>
        <w:pStyle w:val="Normal"/>
        <w:ind w:hanging="1800" w:start="1800" w:end="0"/>
        <w:rPr>
          <w:sz w:val="24"/>
        </w:rPr>
      </w:pPr>
      <w:r>
        <w:rPr>
          <w:sz w:val="24"/>
        </w:rPr>
      </w:r>
    </w:p>
    <w:p>
      <w:pPr>
        <w:pStyle w:val="BodyTextIndent"/>
        <w:rPr/>
      </w:pPr>
      <w:r>
        <w:rPr/>
        <w:t>Scheduling:</w:t>
        <w:tab/>
        <w:t>EPMI shall schedule energy by 8:30 a.m. the workday preceding delivery.</w:t>
      </w:r>
    </w:p>
    <w:p>
      <w:pPr>
        <w:pStyle w:val="Header"/>
        <w:tabs>
          <w:tab w:val="clear" w:pos="4320"/>
          <w:tab w:val="clear" w:pos="8640"/>
        </w:tabs>
        <w:ind w:start="2160" w:end="0"/>
        <w:rPr>
          <w:color w:val="000000"/>
          <w:sz w:val="24"/>
        </w:rPr>
      </w:pPr>
      <w:r>
        <w:rPr>
          <w:color w:val="000000"/>
          <w:sz w:val="24"/>
        </w:rPr>
      </w:r>
    </w:p>
    <w:p>
      <w:pPr>
        <w:pStyle w:val="BodyTextIndent"/>
        <w:rPr/>
      </w:pPr>
      <w:r>
        <w:rPr/>
        <w:t>Confidentiality:</w:t>
        <w:tab/>
        <w:t>Neither Party will disclose the terms of this Agreement to a third party (other than to its affiliates, employees, lenders, counsel or accountants who have agreed to keep such terms confidential) except in order to comply with any applicable law, order, regulation or rule, provided that each Party will notify the other of any proceeding of which it is aware which may result in disclosure.  The Parties will be entitled to all remedies at law or in equity to enforce or seek relief in connection with this confidentiality obligation; provided all monetary damages will be limited to actual direct damages.</w:t>
      </w:r>
    </w:p>
    <w:p>
      <w:pPr>
        <w:pStyle w:val="Normal"/>
        <w:rPr>
          <w:sz w:val="24"/>
        </w:rPr>
      </w:pPr>
      <w:r>
        <w:rPr>
          <w:sz w:val="24"/>
        </w:rPr>
      </w:r>
    </w:p>
    <w:p>
      <w:pPr>
        <w:pStyle w:val="Normal"/>
        <w:rPr>
          <w:sz w:val="24"/>
        </w:rPr>
      </w:pPr>
      <w:r>
        <w:rPr>
          <w:sz w:val="24"/>
        </w:rPr>
        <w:t>Please confirm that the terms stated herein accurately reflect the agreement reached on December 1, 2000 between EPMI and MP by returning an executed copy of this letter by facsimile to MPEX at 612-332-2893.  Your response should reflect the appropriate party in your organization who has the authority to enter into this transaction.</w:t>
      </w:r>
    </w:p>
    <w:p>
      <w:pPr>
        <w:pStyle w:val="Normal"/>
        <w:rPr>
          <w:sz w:val="24"/>
        </w:rPr>
      </w:pPr>
      <w:r>
        <w:rPr>
          <w:sz w:val="24"/>
        </w:rPr>
      </w:r>
    </w:p>
    <w:p>
      <w:pPr>
        <w:pStyle w:val="Normal"/>
        <w:rPr>
          <w:sz w:val="24"/>
        </w:rPr>
      </w:pPr>
      <w:r>
        <w:rPr>
          <w:sz w:val="24"/>
        </w:rPr>
        <w:tab/>
        <w:tab/>
        <w:tab/>
        <w:tab/>
        <w:tab/>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2880" w:end="0"/>
        <w:rPr>
          <w:sz w:val="24"/>
        </w:rPr>
      </w:pPr>
      <w:r>
        <w:rPr>
          <w:sz w:val="24"/>
        </w:rPr>
        <w:t>Pamela M. Sarvela, CED</w:t>
        <w:tab/>
      </w:r>
    </w:p>
    <w:p>
      <w:pPr>
        <w:pStyle w:val="Heading2"/>
        <w:ind w:hanging="0" w:start="0"/>
        <w:rPr/>
      </w:pPr>
      <w:r>
        <w:rPr/>
        <w:tab/>
        <w:tab/>
        <w:tab/>
        <w:tab/>
        <w:tab/>
        <w:t>Power Marketer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Minnesota Power</w:t>
        <w:tab/>
        <w:tab/>
        <w:tab/>
        <w:tab/>
        <w:t>Enron Power Marketing, Inc.</w:t>
      </w:r>
    </w:p>
    <w:p>
      <w:pPr>
        <w:pStyle w:val="Normal"/>
        <w:rPr>
          <w:b/>
          <w:sz w:val="24"/>
        </w:rPr>
      </w:pPr>
      <w:r>
        <w:rPr>
          <w:b/>
          <w:sz w:val="24"/>
        </w:rPr>
      </w:r>
    </w:p>
    <w:p>
      <w:pPr>
        <w:pStyle w:val="Normal"/>
        <w:rPr>
          <w:sz w:val="24"/>
        </w:rPr>
      </w:pPr>
      <w:r>
        <w:rPr>
          <w:sz w:val="24"/>
        </w:rPr>
        <w:t>By:</w:t>
        <w:tab/>
        <w:t>______________________</w:t>
        <w:tab/>
        <w:tab/>
        <w:t xml:space="preserve">By: </w:t>
        <w:tab/>
        <w:t>______________________________</w:t>
      </w:r>
    </w:p>
    <w:p>
      <w:pPr>
        <w:pStyle w:val="Normal"/>
        <w:rPr>
          <w:sz w:val="24"/>
        </w:rPr>
      </w:pPr>
      <w:r>
        <w:rPr>
          <w:sz w:val="24"/>
        </w:rPr>
      </w:r>
    </w:p>
    <w:p>
      <w:pPr>
        <w:pStyle w:val="Normal"/>
        <w:rPr>
          <w:sz w:val="24"/>
        </w:rPr>
      </w:pPr>
      <w:r>
        <w:rPr>
          <w:sz w:val="24"/>
        </w:rPr>
        <w:t>Name:</w:t>
        <w:tab/>
        <w:t>Timothy O. Noeldner</w:t>
        <w:tab/>
        <w:tab/>
        <w:tab/>
        <w:t>Name:</w:t>
        <w:tab/>
        <w:t>______________________________</w:t>
      </w:r>
    </w:p>
    <w:p>
      <w:pPr>
        <w:pStyle w:val="Normal"/>
        <w:rPr>
          <w:sz w:val="24"/>
        </w:rPr>
      </w:pPr>
      <w:r>
        <w:rPr>
          <w:sz w:val="24"/>
        </w:rPr>
      </w:r>
    </w:p>
    <w:p>
      <w:pPr>
        <w:pStyle w:val="Normal"/>
        <w:rPr>
          <w:sz w:val="24"/>
        </w:rPr>
      </w:pPr>
      <w:r>
        <w:rPr>
          <w:sz w:val="24"/>
        </w:rPr>
        <w:t>Title:</w:t>
        <w:tab/>
        <w:t>MPEX – Vice President</w:t>
        <w:tab/>
        <w:tab/>
        <w:t>Title:</w:t>
        <w:tab/>
        <w:t>______________________________</w:t>
      </w:r>
    </w:p>
    <w:p>
      <w:pPr>
        <w:pStyle w:val="Normal"/>
        <w:rPr>
          <w:sz w:val="24"/>
        </w:rPr>
      </w:pPr>
      <w:r>
        <w:rPr>
          <w:sz w:val="24"/>
        </w:rPr>
      </w:r>
    </w:p>
    <w:p>
      <w:pPr>
        <w:pStyle w:val="Normal"/>
        <w:rPr>
          <w:sz w:val="24"/>
        </w:rPr>
      </w:pPr>
      <w:r>
        <w:rPr>
          <w:sz w:val="24"/>
        </w:rPr>
        <w:t>Date: _______________________</w:t>
        <w:tab/>
        <w:tab/>
        <w:t>Date:   ______________________________</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16"/>
        </w:rPr>
      </w:pPr>
      <w:r>
        <w:rPr>
          <w:sz w:val="16"/>
        </w:rPr>
      </w:r>
    </w:p>
    <w:p>
      <w:pPr>
        <w:pStyle w:val="Normal"/>
        <w:rPr>
          <w:sz w:val="24"/>
        </w:rPr>
      </w:pPr>
      <w:r>
        <w:rPr>
          <w:sz w:val="24"/>
        </w:rPr>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Confidential</w:t>
    </w:r>
  </w:p>
  <w:p>
    <w:pPr>
      <w:pStyle w:val="Head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1800" w:start="1800" w:end="0"/>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hanging="1800" w:start="1800" w:end="0"/>
      <w:jc w:val="end"/>
      <w:outlineLvl w:val="2"/>
    </w:pPr>
    <w:rPr>
      <w:b/>
      <w:i/>
      <w:sz w:val="24"/>
    </w:rPr>
  </w:style>
  <w:style w:type="character" w:styleId="WW8Num1z0">
    <w:name w:val="WW8Num1z0"/>
    <w:qFormat/>
    <w:rPr>
      <w:rFonts w:ascii="Times New Roman" w:hAnsi="Times New Roman" w:cs="Times New Roman"/>
      <w:b w:val="false"/>
      <w:i w:val="false"/>
      <w:sz w:val="24"/>
      <w:u w:val="none"/>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rFonts w:ascii="Times New Roman" w:hAnsi="Times New Roman" w:cs="Times New Roman"/>
      <w:b w:val="false"/>
      <w:i w:val="false"/>
      <w:sz w:val="24"/>
      <w:u w:val="none"/>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rFonts w:ascii="Times New Roman" w:hAnsi="Times New Roman" w:cs="Times New Roman"/>
      <w:b w:val="false"/>
      <w:i w:val="false"/>
      <w:sz w:val="24"/>
      <w:u w:val="none"/>
    </w:rPr>
  </w:style>
  <w:style w:type="character" w:styleId="WW8Num12z0">
    <w:name w:val="WW8Num12z0"/>
    <w:qFormat/>
    <w:rPr>
      <w:rFonts w:ascii="Times New Roman" w:hAnsi="Times New Roman" w:cs="Times New Roman"/>
      <w:b w:val="false"/>
      <w:i w:val="false"/>
      <w:sz w:val="24"/>
      <w:u w:val="none"/>
    </w:rPr>
  </w:style>
  <w:style w:type="character" w:styleId="WW8Num13z0">
    <w:name w:val="WW8Num13z0"/>
    <w:qFormat/>
    <w:rPr>
      <w:rFonts w:ascii="Times New Roman" w:hAnsi="Times New Roman" w:cs="Times New Roman"/>
      <w:b w:val="false"/>
      <w:i w:val="false"/>
      <w:sz w:val="24"/>
      <w:u w:val="none"/>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rFonts w:ascii="Times New Roman" w:hAnsi="Times New Roman" w:cs="Times New Roman"/>
      <w:b w:val="false"/>
      <w:i w:val="false"/>
      <w:sz w:val="24"/>
      <w:u w:val="none"/>
    </w:rPr>
  </w:style>
  <w:style w:type="character" w:styleId="WW8Num16z0">
    <w:name w:val="WW8Num16z0"/>
    <w:qFormat/>
    <w:rPr>
      <w:rFonts w:ascii="Times New Roman" w:hAnsi="Times New Roman" w:cs="Times New Roman"/>
      <w:b w:val="false"/>
      <w:i w:val="false"/>
      <w:sz w:val="24"/>
      <w:u w:val="none"/>
    </w:rPr>
  </w:style>
  <w:style w:type="character" w:styleId="WW8Num17z0">
    <w:name w:val="WW8Num17z0"/>
    <w:qFormat/>
    <w:rPr>
      <w:rFonts w:ascii="Times New Roman" w:hAnsi="Times New Roman" w:cs="Times New Roman"/>
      <w:b w:val="false"/>
      <w:i w:val="false"/>
      <w:sz w:val="24"/>
      <w:u w:val="none"/>
    </w:rPr>
  </w:style>
  <w:style w:type="character" w:styleId="WW8Num18z0">
    <w:name w:val="WW8Num18z0"/>
    <w:qFormat/>
    <w:rPr>
      <w:rFonts w:ascii="Times New Roman" w:hAnsi="Times New Roman" w:cs="Times New Roman"/>
      <w:b w:val="false"/>
      <w:i w:val="false"/>
      <w:sz w:val="24"/>
      <w:u w:val="none"/>
    </w:rPr>
  </w:style>
  <w:style w:type="character" w:styleId="WW8Num19z0">
    <w:name w:val="WW8Num19z0"/>
    <w:qFormat/>
    <w:rPr>
      <w:rFonts w:ascii="Times New Roman" w:hAnsi="Times New Roman" w:cs="Times New Roman"/>
      <w:b w:val="false"/>
      <w:i w:val="false"/>
      <w:sz w:val="24"/>
      <w:u w:val="none"/>
    </w:rPr>
  </w:style>
  <w:style w:type="character" w:styleId="WW8Num20z0">
    <w:name w:val="WW8Num20z0"/>
    <w:qFormat/>
    <w:rPr>
      <w:rFonts w:ascii="Times New Roman" w:hAnsi="Times New Roman" w:cs="Times New Roman"/>
      <w:b w:val="false"/>
      <w:i w:val="false"/>
      <w:sz w:val="24"/>
      <w:u w:val="none"/>
    </w:rPr>
  </w:style>
  <w:style w:type="character" w:styleId="WW8Num21z0">
    <w:name w:val="WW8Num21z0"/>
    <w:qFormat/>
    <w:rPr>
      <w:rFonts w:ascii="Times New Roman" w:hAnsi="Times New Roman" w:cs="Times New Roman"/>
      <w:b w:val="false"/>
      <w:i w:val="false"/>
      <w:sz w:val="24"/>
      <w:u w:val="none"/>
    </w:rPr>
  </w:style>
  <w:style w:type="character" w:styleId="WW8Num22z0">
    <w:name w:val="WW8Num22z0"/>
    <w:qFormat/>
    <w:rPr>
      <w:rFonts w:ascii="Times New Roman" w:hAnsi="Times New Roman" w:cs="Times New Roman"/>
      <w:b w:val="false"/>
      <w:i w:val="false"/>
      <w:sz w:val="24"/>
      <w:u w:val="none"/>
    </w:rPr>
  </w:style>
  <w:style w:type="character" w:styleId="WW8Num23z0">
    <w:name w:val="WW8Num23z0"/>
    <w:qFormat/>
    <w:rPr>
      <w:rFonts w:ascii="Times New Roman" w:hAnsi="Times New Roman" w:cs="Times New Roman"/>
      <w:b w:val="false"/>
      <w:i w:val="false"/>
      <w:sz w:val="24"/>
      <w:u w:val="none"/>
    </w:rPr>
  </w:style>
  <w:style w:type="character" w:styleId="WW8Num24z0">
    <w:name w:val="WW8Num24z0"/>
    <w:qFormat/>
    <w:rPr>
      <w:rFonts w:ascii="Times New Roman" w:hAnsi="Times New Roman" w:cs="Times New Roman"/>
      <w:b w:val="false"/>
      <w:i w:val="false"/>
      <w:sz w:val="24"/>
      <w:u w:val="none"/>
    </w:rPr>
  </w:style>
  <w:style w:type="character" w:styleId="WW8NumSt5z0">
    <w:name w:val="WW8NumSt5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800" w:start="180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2000-12-05T16:11:00Z</dcterms:created>
  <dc:creator>Pam Sarvela</dc:creator>
  <dc:description/>
  <dc:language>en-CA</dc:language>
  <cp:lastModifiedBy>Pamela M Sarvela</cp:lastModifiedBy>
  <cp:lastPrinted>2000-12-05T14:35:00Z</cp:lastPrinted>
  <dcterms:modified xsi:type="dcterms:W3CDTF">2000-12-06T14:57:00Z</dcterms:modified>
  <cp:revision>41</cp:revision>
  <dc:subject/>
  <dc:title>Schedule K-2001</dc:title>
</cp:coreProperties>
</file>