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March 1, 2001</w:t>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pPr>
      <w:r>
        <w:rPr/>
        <w:t>Att:  Mark Whitt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21, 2000</w:t>
      </w:r>
    </w:p>
    <w:p>
      <w:pPr>
        <w:pStyle w:val="Normal"/>
        <w:ind w:hanging="2970" w:start="3690" w:end="0"/>
        <w:rPr>
          <w:b/>
          <w:i/>
          <w:i/>
        </w:rPr>
      </w:pPr>
      <w:r>
        <w:rPr>
          <w:b/>
          <w:i/>
        </w:rPr>
        <w:t xml:space="preserve">Service Schedule “11”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Crestone Energy Ventures, L.L.C. formerly known as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March 1, 2001 through the effective term of that certain Gas Purchase Agreement (Reserves Committment/Index Pricing) between Customer and North Finn LLC, </w:t>
            </w:r>
            <w:r>
              <w:rPr>
                <w:color w:val="000000"/>
              </w:rPr>
              <w:t xml:space="preserve">Wildmere Resources Inc., Tika Energy, Inc., Tower Columbia Corporation, and Bluerock Energy Inc., </w:t>
            </w:r>
            <w:r>
              <w:rPr/>
              <w:t>(collectively the “</w:t>
            </w:r>
            <w:r>
              <w:rPr>
                <w:u w:val="single"/>
              </w:rPr>
              <w:t>Producer</w:t>
            </w:r>
            <w:r>
              <w:rPr/>
              <w:t>”) dated _______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Receipt Points as set forth in the Gathering Services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pPr>
            <w:r>
              <w:rPr/>
              <w:t>Interconnects with the Wyoming Interstate Company’s Pipeline in Converse County, Wyoming.</w:t>
            </w:r>
          </w:p>
          <w:p>
            <w:pPr>
              <w:pStyle w:val="Normal"/>
              <w:numPr>
                <w:ilvl w:val="0"/>
                <w:numId w:val="1"/>
              </w:numPr>
              <w:rPr/>
            </w:pPr>
            <w:r>
              <w:rPr/>
              <w:t>Interconnects with Colorado Interstate Gas Company’s Pipeline in Converse County, Wyoming.</w:t>
            </w:r>
          </w:p>
          <w:p>
            <w:pPr>
              <w:pStyle w:val="Normal"/>
              <w:numPr>
                <w:ilvl w:val="0"/>
                <w:numId w:val="1"/>
              </w:numPr>
              <w:rPr/>
            </w:pPr>
            <w:r>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Fee defined in the Gathering Services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in accordance with the provisions of Section 2.1 of the Gathering Services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Gathering Service provided hereunder by Provider shall be governed by and performed in accordance with the terms of the  Gathering Services Agreement between Provider and Producer dated ____.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ind w:start="4320" w:end="0"/>
        <w:rPr>
          <w:b/>
        </w:rPr>
      </w:pPr>
      <w:r>
        <w:rPr>
          <w:b/>
        </w:rPr>
        <w:t>CRESTONE ENERGY VENTURES, L.L.C.</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9180" w:leader="none"/>
        </w:tabs>
        <w:rPr>
          <w:b/>
        </w:rPr>
      </w:pPr>
      <w:r>
        <w:rPr>
          <w:b/>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March, 2001.</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577218.1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2001-05-09T17:41:00Z</dcterms:created>
  <dc:creator>sdaniel</dc:creator>
  <dc:description/>
  <dc:language>en-CA</dc:language>
  <cp:lastModifiedBy>sdaniel</cp:lastModifiedBy>
  <cp:lastPrinted>2000-09-19T16:13:00Z</cp:lastPrinted>
  <dcterms:modified xsi:type="dcterms:W3CDTF">2001-05-09T17:55:00Z</dcterms:modified>
  <cp:revision>3</cp:revision>
  <dc:subject/>
  <dc:title>SERVICE SCHEDULE</dc:title>
</cp:coreProperties>
</file>