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w:t>
        <w:br/>
        <w:t>to the</w:t>
        <w:br/>
        <w:t>MASTER AGREEMENT</w:t>
        <w:br/>
        <w:t>(Multicurrency-Cross Border)</w:t>
        <w:br/>
        <w:t>dated as of July __, 2000</w:t>
        <w:b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LOST CREEK GATHERING COMPANY, L.L.C., a limited liability company organized under the law of the State of Delaware</w:t>
              <w:br/>
              <w:t>(“Party A”), and</w:t>
            </w:r>
          </w:p>
          <w:p>
            <w:pPr>
              <w:pStyle w:val="Normal"/>
              <w:tabs>
                <w:tab w:val="clear" w:pos="720"/>
                <w:tab w:val="center" w:pos="5760" w:leader="none"/>
              </w:tabs>
              <w:spacing w:before="240" w:after="0"/>
              <w:jc w:val="center"/>
              <w:rPr>
                <w:b/>
                <w:sz w:val="22"/>
              </w:rPr>
            </w:pPr>
            <w:r>
              <w:rPr>
                <w:b/>
                <w:sz w:val="22"/>
              </w:rPr>
            </w:r>
          </w:p>
        </w:tc>
        <w:tc>
          <w:tcPr>
            <w:tcW w:w="4788" w:type="dxa"/>
            <w:tcBorders/>
          </w:tcPr>
          <w:p>
            <w:pPr>
              <w:pStyle w:val="Normal"/>
              <w:spacing w:before="240" w:after="0"/>
              <w:jc w:val="center"/>
              <w:rPr>
                <w:b/>
                <w:color w:val="808000"/>
                <w:sz w:val="22"/>
              </w:rPr>
            </w:pPr>
            <w:r>
              <w:rPr>
                <w:b/>
                <w:sz w:val="22"/>
              </w:rPr>
              <w:t>BARCLAYS BANK PLC, a _____________ organized under the law of the ____________</w:t>
              <w:br/>
              <w:t>of ________ (“Party B”)</w:t>
            </w:r>
          </w:p>
        </w:tc>
      </w:tr>
    </w:tbl>
    <w:p>
      <w:pPr>
        <w:pStyle w:val="BodyText"/>
        <w:rPr>
          <w:b/>
        </w:rPr>
      </w:pPr>
      <w:r>
        <w:rPr>
          <w:b/>
        </w:rPr>
        <w:t>Part 1. Termination Provisions.</w:t>
      </w:r>
    </w:p>
    <w:p>
      <w:pPr>
        <w:pStyle w:val="BodyTextFirstIndent"/>
        <w:rPr/>
      </w:pPr>
      <w:r>
        <w:rPr/>
        <w:t>(a)</w:t>
        <w:tab/>
        <w:t>“</w:t>
      </w:r>
      <w:r>
        <w:rPr>
          <w:rStyle w:val="Bold"/>
        </w:rPr>
        <w:t>Specified Entity</w:t>
      </w:r>
      <w:r>
        <w:rPr/>
        <w:t>” means in relation to Party A, none; and in relation to Party B, none.</w:t>
      </w:r>
    </w:p>
    <w:p>
      <w:pPr>
        <w:pStyle w:val="BodyTextFirstIndent"/>
        <w:rPr/>
      </w:pPr>
      <w:r>
        <w:rPr/>
        <w:t>(b)</w:t>
        <w:tab/>
        <w:t>The “</w:t>
      </w:r>
      <w:r>
        <w:rPr>
          <w:rStyle w:val="Bold"/>
        </w:rPr>
        <w:t>Cross Default</w:t>
      </w:r>
      <w:r>
        <w:rPr/>
        <w:t>” provisions of Section 5(a)(vi) will not apply to Party A, and will not apply to Party B.</w:t>
      </w:r>
    </w:p>
    <w:p>
      <w:pPr>
        <w:pStyle w:val="BodyTextFirstIndent"/>
        <w:rPr/>
      </w:pPr>
      <w:r>
        <w:rPr/>
        <w:t xml:space="preserve"> </w:t>
      </w:r>
      <w:r>
        <w:rPr/>
        <w:t>(c)</w:t>
        <w:tab/>
        <w:t>The “</w:t>
      </w:r>
      <w:r>
        <w:rPr>
          <w:rStyle w:val="Bold"/>
        </w:rPr>
        <w:t>Credit Event Upon Merger</w:t>
      </w:r>
      <w:r>
        <w:rPr/>
        <w:t>” provisions of Section 5(b)(iv) will apply to Party A and to Party B.</w:t>
      </w:r>
    </w:p>
    <w:p>
      <w:pPr>
        <w:pStyle w:val="BodyTextFirstIndent"/>
        <w:rPr/>
      </w:pPr>
      <w:r>
        <w:rPr/>
        <w:t>(d)</w:t>
        <w:tab/>
        <w:t>The “</w:t>
      </w:r>
      <w:r>
        <w:rPr>
          <w:rStyle w:val="Bold"/>
        </w:rPr>
        <w:t>Automatic Early Termination</w:t>
      </w:r>
      <w:r>
        <w:rPr/>
        <w:t>” provision of Section 6(a) will not apply to Party A or to Party B.</w:t>
      </w:r>
    </w:p>
    <w:p>
      <w:pPr>
        <w:pStyle w:val="BodyTextFirstIndent"/>
        <w:rPr/>
      </w:pPr>
      <w:r>
        <w:rPr/>
        <w:t>(e)</w:t>
        <w:tab/>
      </w:r>
      <w:r>
        <w:rPr>
          <w:rStyle w:val="Bold"/>
        </w:rPr>
        <w:t>Payments on Early Termination</w:t>
      </w:r>
      <w:r>
        <w:rPr/>
        <w:t>.  For the purpose of Section 6(e):  (i) Market Quotation will apply, and (ii) the Second Method will apply.</w:t>
      </w:r>
    </w:p>
    <w:p>
      <w:pPr>
        <w:pStyle w:val="BodyTextFirstIndent"/>
        <w:rPr/>
      </w:pPr>
      <w:r>
        <w:rPr/>
        <w:t>(f)</w:t>
        <w:tab/>
        <w:t>“</w:t>
      </w:r>
      <w:r>
        <w:rPr>
          <w:rStyle w:val="Bold"/>
        </w:rPr>
        <w:t>Termination Currency</w:t>
      </w:r>
      <w:r>
        <w:rPr/>
        <w:t>” means United States Dollars.</w:t>
      </w:r>
    </w:p>
    <w:p>
      <w:pPr>
        <w:pStyle w:val="BodyText"/>
        <w:rPr/>
      </w:pPr>
      <w:r>
        <w:rPr>
          <w:rStyle w:val="Bold"/>
        </w:rPr>
        <w:t>Part 2.  Tax Representations.</w:t>
      </w:r>
    </w:p>
    <w:p>
      <w:pPr>
        <w:pStyle w:val="BodyTextFirstIndent"/>
        <w:rPr/>
      </w:pPr>
      <w:r>
        <w:rPr/>
        <w:t>(a)</w:t>
        <w:tab/>
      </w:r>
      <w:r>
        <w:rPr>
          <w:rStyle w:val="Bold"/>
        </w:rPr>
        <w:t>Payer Representations</w:t>
      </w:r>
      <w:r>
        <w:rPr/>
        <w:t>.  For the purpose of Section 3(e), Party A and Party B make the following representation:</w:t>
      </w:r>
    </w:p>
    <w:p>
      <w:pPr>
        <w:pStyle w:val="BodyTextFirstIndent"/>
        <w:rPr/>
      </w:pPr>
      <w:r>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BodyTextFirstIndent"/>
        <w:rPr/>
      </w:pPr>
      <w:r>
        <w:rPr/>
        <w:t>(b)</w:t>
        <w:tab/>
      </w:r>
      <w:r>
        <w:rPr>
          <w:rStyle w:val="Bold"/>
        </w:rPr>
        <w:t>Payee Representations</w:t>
      </w:r>
      <w:r>
        <w:rPr/>
        <w:t>.  For the purpose of Section 3(f), Party A and Party B make the following representations:</w:t>
      </w:r>
    </w:p>
    <w:p>
      <w:pPr>
        <w:pStyle w:val="BodyTextIndent2"/>
        <w:tabs>
          <w:tab w:val="clear" w:pos="1350"/>
        </w:tabs>
        <w:rPr/>
      </w:pPr>
      <w:r>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BodyTextIndent"/>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BodyText"/>
        <w:rPr/>
      </w:pPr>
      <w:r>
        <w:rPr/>
        <w:t>“</w:t>
      </w:r>
      <w:r>
        <w:rPr>
          <w:rStyle w:val="Bold"/>
        </w:rPr>
        <w:t>Specified Treaty</w:t>
      </w:r>
      <w:r>
        <w:rPr/>
        <w:t>” means, with respect to Party A, the income tax treaty between the United States and England.</w:t>
      </w:r>
    </w:p>
    <w:p>
      <w:pPr>
        <w:pStyle w:val="BodyText"/>
        <w:rPr/>
      </w:pPr>
      <w:r>
        <w:rPr/>
        <w:t>“</w:t>
      </w:r>
      <w:r>
        <w:rPr>
          <w:rStyle w:val="Bold"/>
        </w:rPr>
        <w:t>Specified Jurisdiction</w:t>
      </w:r>
      <w:r>
        <w:rPr/>
        <w:t>” means, with respect to Party A, England.</w:t>
      </w:r>
    </w:p>
    <w:p>
      <w:pPr>
        <w:pStyle w:val="BodyText"/>
        <w:rPr/>
      </w:pPr>
      <w:r>
        <w:rPr/>
        <w:t>“</w:t>
      </w:r>
      <w:r>
        <w:rPr>
          <w:rStyle w:val="Bold"/>
        </w:rPr>
        <w:t>Specified Jurisdiction</w:t>
      </w:r>
      <w:r>
        <w:rPr/>
        <w:t>” means, with respect to Party B, the United States.</w:t>
      </w:r>
    </w:p>
    <w:p>
      <w:pPr>
        <w:pStyle w:val="BodyTextIndent2"/>
        <w:tabs>
          <w:tab w:val="clear" w:pos="1350"/>
        </w:tabs>
        <w:rPr/>
      </w:pPr>
      <w:r>
        <w:rPr/>
        <w:t>(ii)</w:t>
        <w:tab/>
        <w:t>The following representations apply to Party B: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BodyTextIndent3"/>
        <w:rPr/>
      </w:pPr>
      <w:r>
        <w:rPr/>
        <w:t>(2)</w:t>
        <w:tab/>
        <w:t>With respect to such Transactions, each payment received or to be received by Party B in connection with this Agreement will be effectively connected with its conduct of a trade or business in the United States.</w:t>
      </w:r>
    </w:p>
    <w:p>
      <w:pPr>
        <w:pStyle w:val="BodyText"/>
        <w:rPr/>
      </w:pPr>
      <w:r>
        <w:rPr>
          <w:rStyle w:val="Bold"/>
        </w:rPr>
        <w:t>Part 3.  Agreement to Deliver Documents.</w:t>
      </w:r>
    </w:p>
    <w:p>
      <w:pPr>
        <w:pStyle w:val="BodyTextFirstIndent"/>
        <w:rPr/>
      </w:pPr>
      <w:r>
        <w:rPr/>
        <w:t>For the purpose of Section 4(a), each party agrees to deliver the following documents, as applicable (unless previously delivered in connection with the closing of the Construction and Term Credit Agreement, dated as of September 24, 1999, among Party A, Party B, as Lead Arranger and Administrative Agent, and the Lenders party thereto (the “Credit Agreement”)):</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 xml:space="preserve">Party required to deliver </w:t>
            </w:r>
            <w:r>
              <w:rPr>
                <w:b/>
                <w:sz w:val="22"/>
                <w:u w:val="single"/>
              </w:rPr>
              <w:t>document</w:t>
            </w:r>
          </w:p>
        </w:tc>
        <w:tc>
          <w:tcPr>
            <w:tcW w:w="4104" w:type="dxa"/>
            <w:tcBorders/>
          </w:tcPr>
          <w:p>
            <w:pPr>
              <w:pStyle w:val="Heading5"/>
              <w:keepNext w:val="false"/>
              <w:spacing w:before="240" w:after="0"/>
              <w:ind w:hanging="0" w:start="0"/>
              <w:rPr>
                <w:u w:val="single"/>
              </w:rPr>
            </w:pPr>
            <w:r>
              <w:rPr>
                <w:u w:val="single"/>
              </w:rPr>
              <w:t>Form/Document/Certificate</w:t>
            </w:r>
          </w:p>
        </w:tc>
        <w:tc>
          <w:tcPr>
            <w:tcW w:w="2340" w:type="dxa"/>
            <w:tcBorders/>
          </w:tcPr>
          <w:p>
            <w:pPr>
              <w:pStyle w:val="Normal"/>
              <w:spacing w:lineRule="atLeast" w:line="240" w:before="240" w:after="0"/>
              <w:rPr>
                <w:sz w:val="22"/>
              </w:rPr>
            </w:pPr>
            <w:r>
              <w:rPr>
                <w:b/>
                <w:sz w:val="22"/>
              </w:rPr>
              <w:br/>
              <w:t xml:space="preserve">Date by which to be </w:t>
            </w:r>
            <w:r>
              <w:rPr>
                <w:b/>
                <w:sz w:val="22"/>
                <w:u w:val="single"/>
              </w:rPr>
              <w:t>delivered</w:t>
            </w:r>
          </w:p>
        </w:tc>
        <w:tc>
          <w:tcPr>
            <w:tcW w:w="1926" w:type="dxa"/>
            <w:tcBorders/>
          </w:tcPr>
          <w:p>
            <w:pPr>
              <w:pStyle w:val="Normal"/>
              <w:spacing w:lineRule="atLeast" w:line="240" w:before="240" w:after="0"/>
              <w:rPr>
                <w:sz w:val="22"/>
              </w:rPr>
            </w:pPr>
            <w:r>
              <w:rPr>
                <w:b/>
                <w:sz w:val="22"/>
              </w:rPr>
              <w:t xml:space="preserve">Covered by Section 3(d) </w:t>
            </w:r>
            <w:r>
              <w:rPr>
                <w:b/>
                <w:sz w:val="22"/>
                <w:u w:val="single"/>
              </w:rPr>
              <w:t>Representation</w:t>
            </w:r>
            <w:r>
              <w:rPr>
                <w:b/>
                <w:sz w:val="22"/>
              </w:rPr>
              <w:br/>
            </w:r>
          </w:p>
        </w:tc>
      </w:tr>
      <w:tr>
        <w:trPr/>
        <w:tc>
          <w:tcPr>
            <w:tcW w:w="1926" w:type="dxa"/>
            <w:tcBorders/>
          </w:tcPr>
          <w:p>
            <w:pPr>
              <w:pStyle w:val="Normal"/>
              <w:spacing w:lineRule="atLeast" w:line="240" w:before="240" w:after="0"/>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incumbency and specimen signatures with respect to the party’s signatories executing this Agreement.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rPr>
                <w:sz w:val="22"/>
              </w:rPr>
            </w:pPr>
            <w:r>
              <w:rPr>
                <w:sz w:val="22"/>
              </w:rPr>
              <w:t>Party A</w:t>
            </w:r>
          </w:p>
        </w:tc>
        <w:tc>
          <w:tcPr>
            <w:tcW w:w="4104" w:type="dxa"/>
            <w:tcBorders/>
          </w:tcPr>
          <w:p>
            <w:pPr>
              <w:pStyle w:val="Normal"/>
              <w:spacing w:lineRule="atLeast" w:line="240" w:before="240" w:after="0"/>
              <w:jc w:val="both"/>
              <w:rPr/>
            </w:pPr>
            <w:r>
              <w:rPr>
                <w:sz w:val="22"/>
              </w:rPr>
              <w:t>A copy of Party A’s most recent unaudited financial statements</w:t>
            </w:r>
            <w:r>
              <w:rPr/>
              <w:t>.</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Financial Statement of Party A.</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BodyText"/>
        <w:rPr/>
      </w:pPr>
      <w:r>
        <w:rPr>
          <w:rStyle w:val="Bold"/>
        </w:rPr>
        <w:t>Part 4.  Miscellaneous.</w:t>
      </w:r>
    </w:p>
    <w:p>
      <w:pPr>
        <w:pStyle w:val="BodyTextFirstIndent"/>
        <w:rPr/>
      </w:pPr>
      <w:r>
        <w:rPr/>
        <w:t>(a)</w:t>
        <w:tab/>
      </w:r>
      <w:r>
        <w:rPr>
          <w:rStyle w:val="Bold"/>
        </w:rPr>
        <w:t>Addresses for Notices</w:t>
      </w:r>
      <w:r>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BodyText"/>
        <w:rPr/>
      </w:pPr>
      <w:r>
        <w:rPr/>
        <w:t>Address for notices or communications to Party A:</w:t>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clear" w:pos="720"/>
                <w:tab w:val="left" w:pos="2880" w:leader="none"/>
                <w:tab w:val="left" w:pos="9360" w:leader="none"/>
              </w:tabs>
              <w:spacing w:lineRule="atLeast" w:line="240"/>
              <w:jc w:val="both"/>
              <w:rPr>
                <w:sz w:val="22"/>
              </w:rPr>
            </w:pPr>
            <w:r>
              <w:rPr>
                <w:sz w:val="22"/>
              </w:rPr>
              <w:t>Street Address:(for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Lost Creek Gathering Company, L.L.C.</w:t>
            </w:r>
          </w:p>
          <w:p>
            <w:pPr>
              <w:pStyle w:val="Normal"/>
              <w:tabs>
                <w:tab w:val="clear" w:pos="720"/>
                <w:tab w:val="left" w:pos="4230" w:leader="none"/>
                <w:tab w:val="left" w:pos="9360" w:leader="none"/>
              </w:tabs>
              <w:spacing w:lineRule="exact" w:line="240"/>
              <w:jc w:val="both"/>
              <w:rPr>
                <w:sz w:val="22"/>
              </w:rPr>
            </w:pPr>
            <w:r>
              <w:rPr>
                <w:sz w:val="22"/>
              </w:rPr>
              <w:t>c/o Burlington Resources Trading Inc.</w:t>
            </w:r>
          </w:p>
          <w:p>
            <w:pPr>
              <w:pStyle w:val="Normal"/>
              <w:tabs>
                <w:tab w:val="clear" w:pos="720"/>
                <w:tab w:val="left" w:pos="4230" w:leader="none"/>
                <w:tab w:val="left" w:pos="9360" w:leader="none"/>
              </w:tabs>
              <w:spacing w:lineRule="exact" w:line="240"/>
              <w:jc w:val="both"/>
              <w:rPr>
                <w:sz w:val="22"/>
              </w:rPr>
            </w:pPr>
            <w:r>
              <w:rPr>
                <w:sz w:val="22"/>
              </w:rPr>
              <w:t>5651 Westheimer, Suite 1400</w:t>
            </w:r>
          </w:p>
          <w:p>
            <w:pPr>
              <w:pStyle w:val="Normal"/>
              <w:tabs>
                <w:tab w:val="clear" w:pos="720"/>
                <w:tab w:val="left" w:pos="4230" w:leader="none"/>
                <w:tab w:val="left" w:pos="9360" w:leader="none"/>
              </w:tabs>
              <w:spacing w:lineRule="exact" w:line="240"/>
              <w:jc w:val="both"/>
              <w:rPr>
                <w:sz w:val="22"/>
              </w:rPr>
            </w:pPr>
            <w:r>
              <w:rPr>
                <w:sz w:val="22"/>
              </w:rPr>
              <w:t>Houston, Texas  77095</w:t>
            </w:r>
          </w:p>
          <w:p>
            <w:pPr>
              <w:pStyle w:val="Justified"/>
              <w:widowControl/>
              <w:spacing w:lineRule="exact" w:line="240" w:before="0" w:after="0"/>
              <w:rPr>
                <w:rFonts w:ascii="Times New Roman" w:hAnsi="Times New Roman" w:cs="Times New Roman"/>
              </w:rPr>
            </w:pPr>
            <w:r>
              <w:rPr>
                <w:rFonts w:cs="Times New Roman" w:ascii="Times New Roman" w:hAnsi="Times New Roman"/>
              </w:rPr>
              <w:t>Attn:  Lost Creek Manager</w:t>
            </w:r>
          </w:p>
          <w:p>
            <w:pPr>
              <w:pStyle w:val="Heading2"/>
              <w:spacing w:before="0" w:after="240"/>
              <w:rPr>
                <w:rFonts w:ascii="Times New Roman" w:hAnsi="Times New Roman" w:cs="Times New Roman"/>
              </w:rPr>
            </w:pPr>
            <w:r>
              <w:rPr>
                <w:rFonts w:cs="Times New Roman" w:ascii="Times New Roman" w:hAnsi="Times New Roman"/>
              </w:rPr>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624-9645</w:t>
            </w:r>
          </w:p>
          <w:p>
            <w:pPr>
              <w:pStyle w:val="Normal"/>
              <w:spacing w:lineRule="exact" w:line="240"/>
              <w:ind w:start="72" w:end="0"/>
              <w:jc w:val="both"/>
              <w:rPr>
                <w:sz w:val="22"/>
              </w:rPr>
            </w:pPr>
            <w:r>
              <w:rPr>
                <w:sz w:val="22"/>
              </w:rPr>
              <w:t>Telephone No.:  (713) 624-9000</w:t>
            </w:r>
          </w:p>
        </w:tc>
      </w:tr>
    </w:tbl>
    <w:p>
      <w:pPr>
        <w:pStyle w:val="BodyTextFirstIndent"/>
        <w:rPr/>
      </w:pPr>
      <w:r>
        <w:rPr/>
        <w:t>A copy of any notice sent to Party A pursuant to Section 5 or 6 must also be sent to Andrews &amp; Kurth L.L.P., 600 Travis, Suite 4200, Houston, Texas  77002, Attention:  W. Roberts Taylor, Jr.</w:t>
      </w:r>
    </w:p>
    <w:p>
      <w:pPr>
        <w:pStyle w:val="BodyText"/>
        <w:rPr/>
      </w:pPr>
      <w:r>
        <w:rPr/>
        <w:t>Address for notices or communications to Party B:</w:t>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9360" w:leader="none"/>
              </w:tabs>
              <w:spacing w:lineRule="atLeast" w:line="240"/>
              <w:jc w:val="both"/>
              <w:rPr>
                <w:sz w:val="22"/>
                <w:u w:val="single"/>
              </w:rPr>
            </w:pPr>
            <w:r>
              <w:rPr>
                <w:sz w:val="22"/>
              </w:rPr>
              <w:t>Street Address:(for courier delivery)</w:t>
            </w:r>
          </w:p>
          <w:p>
            <w:pPr>
              <w:pStyle w:val="Normal"/>
              <w:tabs>
                <w:tab w:val="left" w:pos="720" w:leader="none"/>
                <w:tab w:val="right" w:pos="9360" w:leader="dot"/>
              </w:tabs>
              <w:spacing w:lineRule="exact" w:line="240"/>
              <w:jc w:val="both"/>
              <w:rPr>
                <w:sz w:val="22"/>
                <w:u w:val="single"/>
              </w:rPr>
            </w:pPr>
            <w:r>
              <w:rPr>
                <w:sz w:val="22"/>
                <w:u w:val="single"/>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sz w:val="22"/>
              </w:rPr>
            </w:pPr>
            <w:r>
              <w:rPr>
                <w:sz w:val="22"/>
              </w:rPr>
              <w:t>Barclays Bank PLC</w:t>
            </w:r>
          </w:p>
          <w:p>
            <w:pPr>
              <w:pStyle w:val="Normal"/>
              <w:tabs>
                <w:tab w:val="clear" w:pos="720"/>
                <w:tab w:val="left" w:pos="3762" w:leader="none"/>
                <w:tab w:val="left" w:pos="4230" w:leader="none"/>
                <w:tab w:val="left" w:pos="9360" w:leader="none"/>
              </w:tabs>
              <w:spacing w:lineRule="exact" w:line="240"/>
              <w:jc w:val="both"/>
              <w:rPr>
                <w:sz w:val="22"/>
              </w:rPr>
            </w:pPr>
            <w:r>
              <w:rPr>
                <w:sz w:val="22"/>
              </w:rPr>
              <w:t>222 Broadway</w:t>
            </w:r>
          </w:p>
          <w:p>
            <w:pPr>
              <w:pStyle w:val="Normal"/>
              <w:tabs>
                <w:tab w:val="clear" w:pos="720"/>
                <w:tab w:val="left" w:pos="3762" w:leader="none"/>
                <w:tab w:val="left" w:pos="4230" w:leader="none"/>
                <w:tab w:val="left" w:pos="9360" w:leader="none"/>
              </w:tabs>
              <w:spacing w:lineRule="exact" w:line="240"/>
              <w:jc w:val="both"/>
              <w:rPr>
                <w:sz w:val="22"/>
              </w:rPr>
            </w:pPr>
            <w:r>
              <w:rPr>
                <w:sz w:val="22"/>
              </w:rPr>
              <w:t>New York, New York  10038</w:t>
            </w:r>
          </w:p>
          <w:p>
            <w:pPr>
              <w:pStyle w:val="Normal"/>
              <w:spacing w:lineRule="exact" w:line="240"/>
              <w:jc w:val="both"/>
              <w:rPr>
                <w:sz w:val="22"/>
              </w:rPr>
            </w:pPr>
            <w:r>
              <w:rPr>
                <w:sz w:val="22"/>
              </w:rPr>
              <w:t>Attn.:  Richard Williams</w:t>
            </w:r>
          </w:p>
          <w:p>
            <w:pPr>
              <w:pStyle w:val="Normal"/>
              <w:spacing w:lineRule="exact" w:line="240"/>
              <w:jc w:val="both"/>
              <w:rPr>
                <w:sz w:val="22"/>
              </w:rPr>
            </w:pPr>
            <w:r>
              <w:rPr>
                <w:sz w:val="22"/>
              </w:rPr>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Facsimile No.:  (212) 412-7589</w:t>
            </w:r>
          </w:p>
          <w:p>
            <w:pPr>
              <w:pStyle w:val="Normal"/>
              <w:spacing w:lineRule="exact" w:line="240"/>
              <w:ind w:start="72" w:end="0"/>
              <w:jc w:val="both"/>
              <w:rPr>
                <w:sz w:val="22"/>
              </w:rPr>
            </w:pPr>
            <w:r>
              <w:rPr>
                <w:sz w:val="22"/>
              </w:rPr>
              <w:t>Telephone No.:  (212) 412-7570</w:t>
            </w:r>
          </w:p>
        </w:tc>
      </w:tr>
    </w:tbl>
    <w:p>
      <w:pPr>
        <w:pStyle w:val="BodyTextFirstIndent"/>
        <w:rPr/>
      </w:pPr>
      <w:r>
        <w:rPr/>
        <w:t>(b)</w:t>
        <w:tab/>
      </w:r>
      <w:r>
        <w:rPr>
          <w:rStyle w:val="Bold"/>
        </w:rPr>
        <w:t>Offices; Multibranch Parties</w:t>
      </w:r>
      <w:r>
        <w:rPr/>
        <w:t>.  The provisions of Section 10(a) will be applicable.  For the purpose of Section 10(c):  Party A is not a Multibranch Party and Party B is not a Multibranch Party.</w:t>
      </w:r>
    </w:p>
    <w:p>
      <w:pPr>
        <w:pStyle w:val="BodyTextFirstIndent"/>
        <w:rPr/>
      </w:pPr>
      <w:r>
        <w:rPr/>
        <w:t>(c)</w:t>
        <w:tab/>
      </w:r>
      <w:r>
        <w:rPr>
          <w:rStyle w:val="Bold"/>
        </w:rPr>
        <w:t>Calculation Agent</w:t>
      </w:r>
      <w:r>
        <w:rPr/>
        <w:t>.  The Calculation Agent is Party B.</w:t>
      </w:r>
    </w:p>
    <w:p>
      <w:pPr>
        <w:pStyle w:val="BodyTextFirstIndent"/>
        <w:rPr/>
      </w:pPr>
      <w:r>
        <w:rPr/>
        <w:t>(d)</w:t>
        <w:tab/>
      </w:r>
      <w:r>
        <w:rPr>
          <w:rStyle w:val="Bold"/>
        </w:rPr>
        <w:t>Credit Support Documents</w:t>
      </w:r>
      <w:r>
        <w:rPr/>
        <w:t>.   None</w:t>
      </w:r>
    </w:p>
    <w:p>
      <w:pPr>
        <w:pStyle w:val="BodyTextFirstIndent"/>
        <w:rPr/>
      </w:pPr>
      <w:r>
        <w:rPr/>
        <w:t>(e)</w:t>
        <w:tab/>
      </w:r>
      <w:r>
        <w:rPr>
          <w:rStyle w:val="Bold"/>
        </w:rPr>
        <w:t>Credit Support Provider</w:t>
      </w:r>
      <w:r>
        <w:rPr/>
        <w:t>.  (i) Credit Support Provider means in relation to Party A, none, and (ii) Credit Support Provider means in relation to Party B, none.</w:t>
      </w:r>
    </w:p>
    <w:p>
      <w:pPr>
        <w:pStyle w:val="BodyTextFirstIndent"/>
        <w:rPr/>
      </w:pPr>
      <w:r>
        <w:rPr/>
        <w:t>(f)</w:t>
        <w:tab/>
      </w:r>
      <w:r>
        <w:rPr>
          <w:rStyle w:val="Bold"/>
        </w:rPr>
        <w:t>Netting of Payments</w:t>
      </w:r>
      <w:r>
        <w:rPr/>
        <w:t>.  Section 2(c)(ii) will not apply to all Transactions.</w:t>
      </w:r>
    </w:p>
    <w:p>
      <w:pPr>
        <w:pStyle w:val="BodyTextFirstIndent"/>
        <w:rPr/>
      </w:pPr>
      <w:r>
        <w:rPr/>
        <w:t>(g)</w:t>
        <w:tab/>
      </w:r>
      <w:r>
        <w:rPr>
          <w:rStyle w:val="Bold"/>
        </w:rPr>
        <w:t>Governing Law.  This Agreement and each Confirmation will be governed by, and construed, interpreted, and enforced in accordance with, the substantive law of the State of New York (without reference to its choice of law doctrine other than Section 5-1401 of the New York General Obligations Law).</w:t>
      </w:r>
    </w:p>
    <w:p>
      <w:pPr>
        <w:pStyle w:val="BodyTextFirstIndent"/>
        <w:rPr/>
      </w:pPr>
      <w:r>
        <w:rPr/>
        <w:t>(h)</w:t>
        <w:tab/>
      </w:r>
      <w:r>
        <w:rPr>
          <w:rStyle w:val="Bold"/>
        </w:rPr>
        <w:t>Jurisdiction</w:t>
      </w:r>
      <w:r>
        <w:rPr/>
        <w:t>.  Section 13(b) is hereby deleted in its entirety and replaced with the following:</w:t>
      </w:r>
    </w:p>
    <w:p>
      <w:pPr>
        <w:pStyle w:val="BodyTextIndent2"/>
        <w:rPr/>
      </w:pPr>
      <w:r>
        <w:rPr/>
        <w:t>(b)</w:t>
        <w:tab/>
      </w:r>
      <w:r>
        <w:rPr>
          <w:rStyle w:val="Bold"/>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BodyTextIndent"/>
        <w:rPr/>
      </w:pPr>
      <w:r>
        <w:rPr>
          <w:rStyle w:val="Bold"/>
        </w:rPr>
        <w:t>Conduct Of The Arbitration, And Authority Of The Arbitrators</w:t>
      </w:r>
      <w:r>
        <w:rPr/>
        <w:t>: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BodyTextIndent"/>
        <w:rPr/>
      </w:pPr>
      <w:r>
        <w:rPr>
          <w:rStyle w:val="Bold"/>
        </w:rPr>
        <w:t>Forum For The Arbitration And Selection Of Arbitrators</w:t>
      </w:r>
      <w:r>
        <w:rPr/>
        <w:t>: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BodyTextIndent"/>
        <w:rPr/>
      </w:pPr>
      <w:r>
        <w:rPr>
          <w:rStyle w:val="Bold"/>
        </w:rPr>
        <w:t>Confidentiality</w:t>
      </w:r>
      <w:r>
        <w:rPr/>
        <w:t>:  To the fullest extent permitted by law, any arbitration proceeding and the arbitrators award shall be maintained in confidence by the parties.</w:t>
      </w:r>
    </w:p>
    <w:p>
      <w:pPr>
        <w:pStyle w:val="BodyText"/>
        <w:rPr/>
      </w:pPr>
      <w:r>
        <w:rPr>
          <w:rStyle w:val="Bold"/>
        </w:rPr>
        <w:t>Part 5.  Other Provisions.</w:t>
      </w:r>
    </w:p>
    <w:p>
      <w:pPr>
        <w:pStyle w:val="BodyTextFirstIndent"/>
        <w:rPr/>
      </w:pPr>
      <w:r>
        <w:rPr/>
        <w:t>(a)</w:t>
        <w:tab/>
      </w:r>
      <w:r>
        <w:rPr>
          <w:rStyle w:val="Bold"/>
        </w:rPr>
        <w:t>Representations</w:t>
      </w:r>
      <w:r>
        <w:rPr/>
        <w:t>.  Section 3 is hereby amended by adding at the end thereof the following Subsections (g), (h), (i), and (j):</w:t>
      </w:r>
    </w:p>
    <w:p>
      <w:pPr>
        <w:pStyle w:val="BodyTextIndent2"/>
        <w:rPr/>
      </w:pPr>
      <w:r>
        <w:rPr/>
        <w:t>(g)</w:t>
        <w:tab/>
      </w:r>
      <w:r>
        <w:rPr>
          <w:rStyle w:val="Bold"/>
        </w:rPr>
        <w:t>Line of Business</w:t>
      </w:r>
      <w:r>
        <w:rPr/>
        <w:t>.  It is entering into this Agreement and each Transaction, in conjunction with its line of business (including, in the case of Party B, financial intermediation services) or the financing of its business.</w:t>
      </w:r>
    </w:p>
    <w:p>
      <w:pPr>
        <w:pStyle w:val="BodyTextIndent2"/>
        <w:rPr/>
      </w:pPr>
      <w:r>
        <w:rPr/>
        <w:t>(h)</w:t>
        <w:tab/>
      </w:r>
      <w:r>
        <w:rPr>
          <w:rStyle w:val="Bold"/>
        </w:rPr>
        <w:t>Eligible Swap Participant</w:t>
      </w:r>
      <w:r>
        <w:rPr/>
        <w:t>.  It constitutes an “eligible swap participant” as such term is defined in Rule 35.1(b)(2) of the Commodity Futures Trading Commission, 17 C.F.R. § 35.1(b)(2) (1993).</w:t>
      </w:r>
    </w:p>
    <w:p>
      <w:pPr>
        <w:pStyle w:val="BodyTextIndent2"/>
        <w:rPr/>
      </w:pPr>
      <w:r>
        <w:rPr/>
        <w:t>(i)</w:t>
        <w:tab/>
      </w:r>
      <w:r>
        <w:rPr>
          <w:rStyle w:val="Bold"/>
        </w:rPr>
        <w:t>Customization and Creditworthiness</w:t>
      </w:r>
      <w:r>
        <w:rPr/>
        <w:t>.  The economic terms of this Agreement and each Transaction have been individually tailored and negotiated by it; the creditworthiness of the other party was a material consideration in its entering into or determining the terms of this Agreement and such Transaction.</w:t>
      </w:r>
    </w:p>
    <w:p>
      <w:pPr>
        <w:pStyle w:val="BodyTextIndent2"/>
        <w:rPr/>
      </w:pPr>
      <w:r>
        <w:rPr/>
        <w:t>(j)</w:t>
        <w:tab/>
      </w:r>
      <w:r>
        <w:rPr>
          <w:rStyle w:val="Bold"/>
        </w:rPr>
        <w:t>No Reliance</w:t>
      </w:r>
      <w:r>
        <w:rPr/>
        <w:t>.  In connection with this Agreement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and such Transaction with a full understanding of all of the risks hereof and thereof (economic and otherwise), and it is capable of assuming and willing to assume those risks.</w:t>
      </w:r>
    </w:p>
    <w:p>
      <w:pPr>
        <w:pStyle w:val="BodyTextFirstIndent"/>
        <w:rPr/>
      </w:pPr>
      <w:r>
        <w:rPr/>
        <w:t>(b)</w:t>
        <w:tab/>
      </w:r>
      <w:r>
        <w:rPr>
          <w:rStyle w:val="Bold"/>
        </w:rPr>
        <w:t>Definitions</w:t>
      </w:r>
      <w:r>
        <w:rPr/>
        <w:t>.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BodyTextFirstIndent"/>
        <w:rPr/>
      </w:pPr>
      <w:r>
        <w:rPr/>
        <w:t>(c)</w:t>
        <w:tab/>
      </w:r>
      <w:r>
        <w:rPr>
          <w:rStyle w:val="Bold"/>
        </w:rPr>
        <w:t>Recording</w:t>
      </w:r>
      <w:r>
        <w:rPr/>
        <w:t>.  Each party consents to the recording, at any time and from time to time, by the other party of any and all communications between officers or employees of the parties, and waives any further notice of such recording.</w:t>
      </w:r>
    </w:p>
    <w:p>
      <w:pPr>
        <w:pStyle w:val="BodyTextFirstIndent"/>
        <w:rPr/>
      </w:pPr>
      <w:r>
        <w:rPr/>
        <w:t>(d)</w:t>
        <w:tab/>
      </w:r>
      <w:r>
        <w:rPr>
          <w:rStyle w:val="Bold"/>
        </w:rPr>
        <w:t>Setoff</w:t>
      </w:r>
      <w:r>
        <w:rPr/>
        <w:t>.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BodyTextFirstIndent"/>
        <w:rPr/>
      </w:pPr>
      <w:r>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BodyTextFirstIndent"/>
        <w:rPr/>
      </w:pPr>
      <w:r>
        <w:rPr>
          <w:rStyle w:val="Bold"/>
        </w:rPr>
        <w:t>(e)</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BodyTextFirstIndent"/>
        <w:rPr/>
      </w:pPr>
      <w:r>
        <w:rPr/>
        <w:t>(f)</w:t>
        <w:tab/>
      </w:r>
      <w:r>
        <w:rPr>
          <w:rStyle w:val="Bold"/>
        </w:rPr>
        <w:t>Confidentiality</w:t>
      </w:r>
      <w:r>
        <w:rPr/>
        <w:t>.  The contents of this Agreement and all other documents relating to this Agreement, and any information made available by one party to the other party with respect to this Agreement shall be subject to the terms and conditions of Section 12.08 of the Credit Agreement.</w:t>
      </w:r>
    </w:p>
    <w:p>
      <w:pPr>
        <w:pStyle w:val="BodyTextFirstIndent"/>
        <w:rPr/>
      </w:pPr>
      <w:r>
        <w:rPr/>
        <w:t>(g)</w:t>
        <w:tab/>
      </w:r>
      <w:r>
        <w:rPr>
          <w:rStyle w:val="Bold"/>
        </w:rPr>
        <w:t>Severability</w:t>
      </w:r>
      <w:r>
        <w:rPr/>
        <w:t>.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BodyTextFirstIndent"/>
        <w:rPr/>
      </w:pPr>
      <w:r>
        <w:rPr/>
        <w:t>(h)</w:t>
        <w:tab/>
      </w:r>
      <w:r>
        <w:rPr>
          <w:rStyle w:val="Bold"/>
        </w:rPr>
        <w:t>European Monetary Union</w:t>
      </w:r>
      <w:r>
        <w:rPr/>
        <w:t>.  The provisions of Annexes 1 to 5 (inclusive) of the EMU Protocol, published by ISDA on May 6, 1998, are hereby incorporated in this Agreement.</w:t>
      </w:r>
    </w:p>
    <w:p>
      <w:pPr>
        <w:pStyle w:val="BodyTextFirstIndent"/>
        <w:rPr/>
      </w:pPr>
      <w:r>
        <w:rPr/>
        <w:t>(i)</w:t>
        <w:tab/>
      </w:r>
      <w:r>
        <w:rPr>
          <w:rStyle w:val="Bold"/>
        </w:rPr>
        <w:t>Amendment to Section 5(a)(iv).</w:t>
      </w:r>
      <w:r>
        <w:rPr/>
        <w:t xml:space="preserve">  Section 5(a)(iv) of this Agreement shall be amended by adding the following words at the end of said Section:  “and such condition or circumstance would reasonably be expected to have a Material Adverse Effect (as defined in the Credit Agreement).”</w:t>
      </w:r>
    </w:p>
    <w:p>
      <w:pPr>
        <w:pStyle w:val="BodyTextFirstIndent"/>
        <w:rPr/>
      </w:pPr>
      <w:r>
        <w:rPr/>
        <w:t>(j)</w:t>
        <w:tab/>
      </w:r>
      <w:r>
        <w:rPr>
          <w:rStyle w:val="Bold"/>
        </w:rPr>
        <w:t>Amendment to Section 5(a)(vii).</w:t>
      </w:r>
      <w:r>
        <w:rPr/>
        <w:t xml:space="preserve">  Section 5(a) (vii) of this Agreement shall be amended by deleting each reference to the number “30” in said Section and inserting the number “60” in lieu thereof.</w:t>
      </w:r>
    </w:p>
    <w:p>
      <w:pPr>
        <w:pStyle w:val="BodyText"/>
        <w:rPr/>
      </w:pPr>
      <w:r>
        <w:rPr/>
        <w:t>EXECUTED effective as of the date first written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pacing w:before="0" w:after="240"/>
              <w:rPr/>
            </w:pPr>
            <w:r>
              <w:rPr>
                <w:b/>
                <w:sz w:val="22"/>
              </w:rPr>
              <w:t>LOST CREEK GATHERING COMPANY, L.L.C.,</w:t>
            </w:r>
            <w:r>
              <w:rPr>
                <w:sz w:val="22"/>
              </w:rPr>
              <w:t xml:space="preserve"> a Delaware limited liability company</w:t>
            </w:r>
          </w:p>
          <w:p>
            <w:pPr>
              <w:pStyle w:val="Normal"/>
              <w:rPr>
                <w:color w:val="000000"/>
                <w:sz w:val="22"/>
              </w:rPr>
            </w:pPr>
            <w:r>
              <w:rPr>
                <w:color w:val="000000"/>
                <w:sz w:val="22"/>
              </w:rPr>
              <w:t>By:</w:t>
              <w:tab/>
              <w:t>Burlington Resources Trading Inc., its</w:t>
              <w:tab/>
              <w:t>Managing Member</w:t>
            </w:r>
          </w:p>
          <w:p>
            <w:pPr>
              <w:pStyle w:val="Normal"/>
              <w:rPr>
                <w:color w:val="000000"/>
                <w:sz w:val="22"/>
              </w:rPr>
            </w:pPr>
            <w:r>
              <w:rPr>
                <w:color w:val="000000"/>
                <w:sz w:val="22"/>
              </w:rPr>
            </w:r>
          </w:p>
          <w:p>
            <w:pPr>
              <w:pStyle w:val="Normal"/>
              <w:rPr/>
            </w:pPr>
            <w:r>
              <w:rPr/>
            </w:r>
          </w:p>
          <w:p>
            <w:pPr>
              <w:pStyle w:val="Normal"/>
              <w:spacing w:lineRule="exact" w:line="240"/>
              <w:jc w:val="both"/>
              <w:rPr/>
            </w:pPr>
            <w:r>
              <w:rPr>
                <w:sz w:val="22"/>
              </w:rPr>
              <w:tab/>
              <w:t>By:</w:t>
              <w:tab/>
            </w:r>
            <w:r>
              <w:rPr>
                <w:sz w:val="22"/>
                <w:u w:val="single"/>
              </w:rPr>
              <w:tab/>
              <w:tab/>
              <w:tab/>
              <w:tab/>
            </w:r>
          </w:p>
          <w:p>
            <w:pPr>
              <w:pStyle w:val="Normal"/>
              <w:spacing w:lineRule="exact" w:line="240"/>
              <w:jc w:val="both"/>
              <w:rPr>
                <w:sz w:val="22"/>
              </w:rPr>
            </w:pPr>
            <w:r>
              <w:rPr>
                <w:sz w:val="22"/>
              </w:rPr>
              <w:tab/>
              <w:t>Name:</w:t>
              <w:tab/>
            </w:r>
            <w:r>
              <w:rPr>
                <w:sz w:val="22"/>
                <w:u w:val="single"/>
              </w:rPr>
              <w:tab/>
              <w:tab/>
              <w:tab/>
              <w:tab/>
            </w:r>
          </w:p>
          <w:p>
            <w:pPr>
              <w:pStyle w:val="Normal"/>
              <w:spacing w:lineRule="exact" w:line="240"/>
              <w:jc w:val="both"/>
              <w:rPr>
                <w:sz w:val="22"/>
              </w:rPr>
            </w:pPr>
            <w:r>
              <w:rPr>
                <w:sz w:val="22"/>
              </w:rPr>
              <w:tab/>
              <w:t>Title:</w:t>
              <w:tab/>
            </w:r>
            <w:r>
              <w:rPr>
                <w:sz w:val="22"/>
                <w:u w:val="single"/>
              </w:rPr>
              <w:tab/>
              <w:tab/>
              <w:tab/>
              <w:tab/>
            </w:r>
          </w:p>
          <w:p>
            <w:pPr>
              <w:pStyle w:val="Normal"/>
              <w:spacing w:lineRule="exact" w:line="240"/>
              <w:jc w:val="both"/>
              <w:rPr>
                <w:sz w:val="22"/>
              </w:rPr>
            </w:pPr>
            <w:r>
              <w:rPr>
                <w:sz w:val="22"/>
              </w:rPr>
              <w:tab/>
              <w:t>Date:</w:t>
              <w:tab/>
            </w:r>
            <w:r>
              <w:rPr>
                <w:sz w:val="22"/>
                <w:u w:val="single"/>
              </w:rPr>
              <w:tab/>
              <w:tab/>
              <w:tab/>
            </w:r>
          </w:p>
        </w:tc>
        <w:tc>
          <w:tcPr>
            <w:tcW w:w="4788" w:type="dxa"/>
            <w:tcBorders/>
          </w:tcPr>
          <w:p>
            <w:pPr>
              <w:pStyle w:val="Heading4"/>
              <w:keepNext w:val="false"/>
              <w:ind w:hanging="0" w:start="0"/>
              <w:rPr/>
            </w:pPr>
            <w:r>
              <w:rPr/>
              <w:t>BARCLAYS BANK PLC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Title:</w:t>
              <w:tab/>
            </w:r>
            <w:r>
              <w:rPr>
                <w:sz w:val="22"/>
                <w:u w:val="single"/>
              </w:rPr>
              <w:tab/>
              <w:tab/>
              <w:tab/>
              <w:tab/>
              <w:tab/>
            </w:r>
          </w:p>
          <w:p>
            <w:pPr>
              <w:pStyle w:val="Normal"/>
              <w:spacing w:lineRule="exact" w:line="240"/>
              <w:jc w:val="both"/>
              <w:rPr>
                <w:sz w:val="22"/>
              </w:rPr>
            </w:pPr>
            <w:r>
              <w:rPr>
                <w:sz w:val="22"/>
              </w:rPr>
              <w:t>Date:</w:t>
              <w:tab/>
            </w:r>
            <w:r>
              <w:rPr>
                <w:sz w:val="22"/>
                <w:u w:val="single"/>
              </w:rPr>
              <w:tab/>
              <w:tab/>
              <w:tab/>
              <w:tab/>
            </w:r>
          </w:p>
        </w:tc>
      </w:tr>
    </w:tbl>
    <w:p>
      <w:pPr>
        <w:pStyle w:val="Normal"/>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950" w:leader="none"/>
        <w:tab w:val="right" w:pos="8640" w:leader="none"/>
      </w:tabs>
      <w:rPr/>
    </w:pPr>
    <w:r>
      <w:rPr/>
      <w:t>557924-1</w:t>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557924-1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spacing w:lineRule="exact" w:line="240"/>
      <w:jc w:val="both"/>
      <w:outlineLvl w:val="3"/>
    </w:pPr>
    <w:rPr>
      <w:b/>
      <w:sz w:val="22"/>
    </w:rPr>
  </w:style>
  <w:style w:type="paragraph" w:styleId="Heading5">
    <w:name w:val="heading 5"/>
    <w:basedOn w:val="Normal"/>
    <w:next w:val="Normal"/>
    <w:qFormat/>
    <w:pPr>
      <w:keepNext w:val="true"/>
      <w:numPr>
        <w:ilvl w:val="4"/>
        <w:numId w:val="1"/>
      </w:numPr>
      <w:spacing w:lineRule="atLeast" w:line="240" w:before="240" w:after="0"/>
      <w:outlineLvl w:val="4"/>
    </w:pPr>
    <w:rPr>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Times New Roman" w:hAnsi="Times New Roman" w:cs="Times New Roman"/>
      <w:b w:val="false"/>
      <w:i w:val="false"/>
      <w:sz w:val="24"/>
      <w:u w:val="none"/>
    </w:rPr>
  </w:style>
  <w:style w:type="character" w:styleId="WW8Num17z4">
    <w:name w:val="WW8Num17z4"/>
    <w:qFormat/>
    <w:rPr/>
  </w:style>
  <w:style w:type="character" w:styleId="WW8Num17z8">
    <w:name w:val="WW8Num17z8"/>
    <w:qFormat/>
    <w:rPr>
      <w:rFonts w:ascii="Symbol" w:hAnsi="Symbol" w:cs="Symbol"/>
      <w:color w:val="auto"/>
      <w:sz w:val="28"/>
    </w:rPr>
  </w:style>
  <w:style w:type="character" w:styleId="WW8Num19z0">
    <w:name w:val="WW8Num19z0"/>
    <w:qFormat/>
    <w:rPr>
      <w:rFonts w:ascii="Times New Roman" w:hAnsi="Times New Roman" w:cs="Times New Roman"/>
      <w:b w:val="false"/>
      <w:i w:val="false"/>
      <w:sz w:val="24"/>
      <w:u w:val="none"/>
    </w:rPr>
  </w:style>
  <w:style w:type="character" w:styleId="WW8Num19z4">
    <w:name w:val="WW8Num19z4"/>
    <w:qFormat/>
    <w:rPr/>
  </w:style>
  <w:style w:type="character" w:styleId="WW8Num19z8">
    <w:name w:val="WW8Num19z8"/>
    <w:qFormat/>
    <w:rPr>
      <w:rFonts w:ascii="Symbol" w:hAnsi="Symbol" w:cs="Symbol"/>
      <w:color w:val="auto"/>
      <w:sz w:val="28"/>
    </w:rPr>
  </w:style>
  <w:style w:type="character" w:styleId="WW8Num23z0">
    <w:name w:val="WW8Num23z0"/>
    <w:qFormat/>
    <w:rPr>
      <w:rFonts w:ascii="Times New Roman" w:hAnsi="Times New Roman" w:cs="Times New Roman"/>
      <w:b w:val="false"/>
      <w:i w:val="false"/>
      <w:sz w:val="24"/>
      <w:u w:val="none"/>
    </w:rPr>
  </w:style>
  <w:style w:type="character" w:styleId="WW8Num23z4">
    <w:name w:val="WW8Num23z4"/>
    <w:qFormat/>
    <w:rPr/>
  </w:style>
  <w:style w:type="character" w:styleId="WW8Num23z8">
    <w:name w:val="WW8Num23z8"/>
    <w:qFormat/>
    <w:rPr>
      <w:rFonts w:ascii="Symbol" w:hAnsi="Symbol" w:cs="Symbol"/>
      <w:color w:val="auto"/>
      <w:sz w:val="28"/>
    </w:rPr>
  </w:style>
  <w:style w:type="character" w:styleId="WW8NumSt17z0">
    <w:name w:val="WW8NumSt17z0"/>
    <w:qFormat/>
    <w:rPr>
      <w:rFonts w:ascii="Times New Roman" w:hAnsi="Times New Roman" w:cs="Times New Roman"/>
      <w:b w:val="false"/>
      <w:i w:val="false"/>
      <w:sz w:val="24"/>
      <w:u w:val="none"/>
    </w:rPr>
  </w:style>
  <w:style w:type="character" w:styleId="WW8NumSt17z4">
    <w:name w:val="WW8NumSt17z4"/>
    <w:qFormat/>
    <w:rPr/>
  </w:style>
  <w:style w:type="character" w:styleId="WW8NumSt17z8">
    <w:name w:val="WW8NumSt17z8"/>
    <w:qFormat/>
    <w:rPr>
      <w:rFonts w:ascii="Symbol" w:hAnsi="Symbol" w:cs="Symbol"/>
      <w:color w:val="auto"/>
      <w:sz w:val="28"/>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z w:val="22"/>
    </w:rPr>
  </w:style>
  <w:style w:type="character" w:styleId="Bold">
    <w:name w:val="Bold"/>
    <w:basedOn w:val="DefaultParagraphFont"/>
    <w:qFormat/>
    <w:rPr>
      <w:rFonts w:ascii="Times New Roman Bold" w:hAnsi="Times New Roman Bold" w:cs="Times New Roman Bold"/>
      <w:b/>
      <w:sz w:val="22"/>
      <w:u w:val="none"/>
    </w:rPr>
  </w:style>
  <w:style w:type="paragraph" w:styleId="Heading">
    <w:name w:val="Heading"/>
    <w:basedOn w:val="Normal"/>
    <w:next w:val="BodyText"/>
    <w:qFormat/>
    <w:pPr>
      <w:spacing w:before="0" w:after="240"/>
      <w:jc w:val="center"/>
      <w:outlineLvl w:val="0"/>
    </w:pPr>
    <w:rPr>
      <w:rFonts w:ascii="Times New Roman Bold" w:hAnsi="Times New Roman Bold" w:cs="Times New Roman Bold"/>
      <w:b/>
      <w:kern w:val="2"/>
      <w:sz w:val="24"/>
    </w:rPr>
  </w:style>
  <w:style w:type="paragraph" w:styleId="BodyText">
    <w:name w:val="Body Text"/>
    <w:basedOn w:val="Normal"/>
    <w:pPr>
      <w:widowControl w:val="false"/>
      <w:spacing w:before="0" w:after="24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z w:val="16"/>
    </w:rPr>
  </w:style>
  <w:style w:type="paragraph" w:styleId="FootnoteTextMore">
    <w:name w:val="Footnote TextMore"/>
    <w:basedOn w:val="FootnoteText"/>
    <w:qFormat/>
    <w:pPr>
      <w:ind w:hanging="0" w:start="720" w:end="0"/>
    </w:pPr>
    <w:rPr/>
  </w:style>
  <w:style w:type="paragraph" w:styleId="BodyTextIndent3">
    <w:name w:val="Body Text Indent 3"/>
    <w:basedOn w:val="Normal"/>
    <w:qFormat/>
    <w:pPr>
      <w:widowControl w:val="false"/>
      <w:spacing w:before="0" w:after="240"/>
      <w:ind w:firstLine="720" w:start="144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spacing w:before="0" w:after="240"/>
      <w:ind w:firstLine="720" w:start="72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BodyTextFirstIndent">
    <w:name w:val="Body Text First Indent"/>
    <w:basedOn w:val="BodyText"/>
    <w:qFormat/>
    <w:pPr>
      <w:widowControl/>
      <w:ind w:firstLine="720" w:start="0" w:end="0"/>
      <w:jc w:val="both"/>
    </w:pPr>
    <w:rPr/>
  </w:style>
  <w:style w:type="paragraph" w:styleId="BodyTextIndent">
    <w:name w:val="Body Text Indent"/>
    <w:basedOn w:val="Normal"/>
    <w:pPr>
      <w:spacing w:before="0" w:after="240"/>
      <w:ind w:hanging="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2000-07-17T12:30:00Z</dcterms:created>
  <dc:creator>mheard</dc:creator>
  <dc:description/>
  <dc:language>en-CA</dc:language>
  <cp:lastModifiedBy>A&amp;K</cp:lastModifiedBy>
  <cp:lastPrinted>2000-07-17T10:00:00Z</cp:lastPrinted>
  <dcterms:modified xsi:type="dcterms:W3CDTF">2000-07-17T12:30:00Z</dcterms:modified>
  <cp:revision>2</cp:revision>
  <dc:subject/>
  <dc:title>ISDA Multicurrency Agreement</dc:title>
</cp:coreProperties>
</file>