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lushRight"/>
        <w:rPr/>
      </w:pPr>
      <w:r>
        <w:rPr/>
        <w:t>Schedule 1</w:t>
        <w:br/>
        <w:t>to the Securities Purchase Agreement and</w:t>
        <w:br/>
        <w:t>the Project Development Agreement</w:t>
      </w:r>
    </w:p>
    <w:p>
      <w:pPr>
        <w:pStyle w:val="CenterB"/>
        <w:rPr/>
      </w:pPr>
      <w:r>
        <w:rPr/>
        <w:t>DEFINITIONS</w:t>
      </w:r>
    </w:p>
    <w:p>
      <w:pPr>
        <w:pStyle w:val="Definition"/>
        <w:rPr/>
      </w:pPr>
      <w:r>
        <w:rPr/>
        <w:t>“</w:t>
      </w:r>
      <w:r>
        <w:rPr>
          <w:b/>
        </w:rPr>
        <w:t>AAA</w:t>
      </w:r>
      <w:r>
        <w:rPr/>
        <w:t>”</w:t>
      </w:r>
      <w:r>
        <w:rPr>
          <w:b/>
        </w:rPr>
        <w:t xml:space="preserve"> </w:t>
      </w:r>
      <w:r>
        <w:rPr/>
        <w:t>has the meaning specified therefor in Section 7.4 of the Purchase Agreement.</w:t>
      </w:r>
    </w:p>
    <w:p>
      <w:pPr>
        <w:pStyle w:val="Definition"/>
        <w:rPr/>
      </w:pPr>
      <w:r>
        <w:rPr/>
        <w:t>“</w:t>
      </w:r>
      <w:r>
        <w:rPr>
          <w:b/>
        </w:rPr>
        <w:t>Action</w:t>
      </w:r>
      <w:r>
        <w:rPr/>
        <w:t>”</w:t>
      </w:r>
      <w:r>
        <w:rPr>
          <w:b/>
        </w:rPr>
        <w:t xml:space="preserve"> </w:t>
      </w:r>
      <w:r>
        <w:rPr/>
        <w:t>against a Person means any lawsuit, action, proceeding, investigation or complaint before any Governmental Authority, mediator or arbitrator.</w:t>
      </w:r>
    </w:p>
    <w:p>
      <w:pPr>
        <w:pStyle w:val="Definition"/>
        <w:rPr/>
      </w:pPr>
      <w:r>
        <w:rPr/>
        <w:t>“</w:t>
      </w:r>
      <w:r>
        <w:rPr>
          <w:b/>
        </w:rPr>
        <w:t>Additional Compensation</w:t>
      </w:r>
      <w:r>
        <w:rPr/>
        <w:t>” has the meaning provided therefor in Section 3.2 of the Project Development Agreement.</w:t>
      </w:r>
    </w:p>
    <w:p>
      <w:pPr>
        <w:pStyle w:val="Definition"/>
        <w:rPr/>
      </w:pPr>
      <w:r>
        <w:rPr/>
        <w:t>“</w:t>
      </w:r>
      <w:r>
        <w:rPr>
          <w:b/>
        </w:rPr>
        <w:t>Affiliate</w:t>
      </w:r>
      <w:r>
        <w:rPr/>
        <w:t>”</w:t>
      </w:r>
      <w:r>
        <w:rPr>
          <w:b/>
        </w:rPr>
        <w:t xml:space="preserve"> </w:t>
      </w:r>
      <w:r>
        <w:rPr/>
        <w:t>of any specified Person means any other Person directly or indirectly controlling or controlled by or under direct or indirect common control with such specified Person. For the purposes of this definition, “control,” when used with respect to any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Definition"/>
        <w:rPr/>
      </w:pPr>
      <w:r>
        <w:rPr/>
        <w:t>“</w:t>
      </w:r>
      <w:r>
        <w:rPr>
          <w:b/>
        </w:rPr>
        <w:t>Base Configuration Information</w:t>
      </w:r>
      <w:r>
        <w:rPr/>
        <w:t>”</w:t>
      </w:r>
      <w:r>
        <w:rPr>
          <w:b/>
        </w:rPr>
        <w:t xml:space="preserve"> </w:t>
      </w:r>
      <w:r>
        <w:rPr/>
        <w:t>shall mean the type of information contained on the TVA Project Configuration Form, supplied by Purchaser regarding the Project, in at least the same level of detail as contained in the completed TVA Project Configuration Form.</w:t>
      </w:r>
    </w:p>
    <w:p>
      <w:pPr>
        <w:pStyle w:val="Definition"/>
        <w:rPr/>
      </w:pPr>
      <w:r>
        <w:rPr/>
        <w:t>“</w:t>
      </w:r>
      <w:r>
        <w:rPr>
          <w:b/>
        </w:rPr>
        <w:t>Business Day</w:t>
      </w:r>
      <w:r>
        <w:rPr/>
        <w:t>”</w:t>
      </w:r>
      <w:r>
        <w:rPr>
          <w:b/>
        </w:rPr>
        <w:t xml:space="preserve"> </w:t>
      </w:r>
      <w:r>
        <w:rPr/>
        <w:t>means a day that is not a Saturday or Sunday, or any other day on which banking institutions in New York, New York are not obligated by law, regulation or executive order to open.</w:t>
      </w:r>
    </w:p>
    <w:p>
      <w:pPr>
        <w:pStyle w:val="Definition"/>
        <w:rPr/>
      </w:pPr>
      <w:r>
        <w:rPr/>
        <w:t>“</w:t>
      </w:r>
      <w:r>
        <w:rPr>
          <w:b/>
        </w:rPr>
        <w:t>Closing</w:t>
      </w:r>
      <w:r>
        <w:rPr/>
        <w:t>”</w:t>
      </w:r>
      <w:r>
        <w:rPr>
          <w:b/>
        </w:rPr>
        <w:t xml:space="preserve"> </w:t>
      </w:r>
      <w:r>
        <w:rPr/>
        <w:t>has the meaning provided therefor in Section 2.3 of the Purchase Agreement.</w:t>
      </w:r>
    </w:p>
    <w:p>
      <w:pPr>
        <w:pStyle w:val="Definition"/>
        <w:rPr/>
      </w:pPr>
      <w:r>
        <w:rPr/>
        <w:t>“</w:t>
      </w:r>
      <w:r>
        <w:rPr>
          <w:b/>
        </w:rPr>
        <w:t>Closing Date</w:t>
      </w:r>
      <w:r>
        <w:rPr/>
        <w:t>”</w:t>
      </w:r>
      <w:r>
        <w:rPr>
          <w:b/>
        </w:rPr>
        <w:t xml:space="preserve"> </w:t>
      </w:r>
      <w:r>
        <w:rPr/>
        <w:t>means the date on which the Closing occurs.</w:t>
      </w:r>
    </w:p>
    <w:p>
      <w:pPr>
        <w:pStyle w:val="Definition"/>
        <w:rPr/>
      </w:pPr>
      <w:r>
        <w:rPr/>
        <w:t>“</w:t>
      </w:r>
      <w:r>
        <w:rPr>
          <w:b/>
        </w:rPr>
        <w:t>Commission</w:t>
      </w:r>
      <w:r>
        <w:rPr/>
        <w:t>” means the United States Securities and Exchange Commission.</w:t>
      </w:r>
    </w:p>
    <w:p>
      <w:pPr>
        <w:pStyle w:val="Definition"/>
        <w:rPr/>
      </w:pPr>
      <w:r>
        <w:rPr/>
        <w:t>“</w:t>
      </w:r>
      <w:r>
        <w:rPr>
          <w:b/>
        </w:rPr>
        <w:t>Company</w:t>
      </w:r>
      <w:r>
        <w:rPr/>
        <w:t>”</w:t>
      </w:r>
      <w:r>
        <w:rPr>
          <w:b/>
        </w:rPr>
        <w:t xml:space="preserve"> </w:t>
      </w:r>
      <w:r>
        <w:rPr/>
        <w:t>means Haywood Power I, L.L.C., a Delaware limited liability company.</w:t>
      </w:r>
    </w:p>
    <w:p>
      <w:pPr>
        <w:pStyle w:val="Definition"/>
        <w:rPr/>
      </w:pPr>
      <w:r>
        <w:rPr/>
        <w:t>“</w:t>
      </w:r>
      <w:r>
        <w:rPr>
          <w:b/>
        </w:rPr>
        <w:t>Confidential Information</w:t>
      </w:r>
      <w:r>
        <w:rPr/>
        <w:t>” has the meaning specified therefor in Section 6.1 of the Purchase Agreement.</w:t>
      </w:r>
    </w:p>
    <w:p>
      <w:pPr>
        <w:pStyle w:val="Definition"/>
        <w:rPr/>
      </w:pPr>
      <w:r>
        <w:rPr/>
        <w:t>“</w:t>
      </w:r>
      <w:r>
        <w:rPr>
          <w:b/>
        </w:rPr>
        <w:t>Confidentiality Period</w:t>
      </w:r>
      <w:r>
        <w:rPr/>
        <w:t>” has the meaning specified therefor in Section 6.1(b) of the Purchase Agreement.</w:t>
      </w:r>
    </w:p>
    <w:p>
      <w:pPr>
        <w:pStyle w:val="Definition"/>
        <w:rPr/>
      </w:pPr>
      <w:r>
        <w:rPr/>
        <w:t>“</w:t>
      </w:r>
      <w:r>
        <w:rPr>
          <w:b/>
        </w:rPr>
        <w:t>Consequential Damages</w:t>
      </w:r>
      <w:r>
        <w:rPr/>
        <w:t>” has the meaning specified therefor in Section 7.2 of the Purchase Agreement.</w:t>
      </w:r>
    </w:p>
    <w:p>
      <w:pPr>
        <w:pStyle w:val="Definition"/>
        <w:rPr/>
      </w:pPr>
      <w:r>
        <w:rPr/>
        <w:t>“</w:t>
      </w:r>
      <w:r>
        <w:rPr>
          <w:b/>
        </w:rPr>
        <w:t>Constituent Documents</w:t>
      </w:r>
      <w:r>
        <w:rPr/>
        <w:t>”</w:t>
      </w:r>
      <w:r>
        <w:rPr>
          <w:b/>
        </w:rPr>
        <w:t xml:space="preserve"> </w:t>
      </w:r>
      <w:r>
        <w:rPr/>
        <w:t>means Project Documents, Land Option Agreement, and any other documents delivered by Seller to Purchaser pursuant to the terms hereof or prior to the Effective Date in connection with Purchaser’s due diligence efforts.</w:t>
      </w:r>
    </w:p>
    <w:p>
      <w:pPr>
        <w:pStyle w:val="Definition"/>
        <w:rPr/>
      </w:pPr>
      <w:r>
        <w:rPr/>
        <w:t>“</w:t>
      </w:r>
      <w:r>
        <w:rPr>
          <w:b/>
        </w:rPr>
        <w:t>Consultants</w:t>
      </w:r>
      <w:r>
        <w:rPr/>
        <w:t>”</w:t>
      </w:r>
      <w:r>
        <w:rPr>
          <w:b/>
        </w:rPr>
        <w:t xml:space="preserve"> </w:t>
      </w:r>
      <w:r>
        <w:rPr/>
        <w:t>has the meaning specified therefor in Section 6.1(c) of the Purchase Agreement.</w:t>
      </w:r>
    </w:p>
    <w:p>
      <w:pPr>
        <w:pStyle w:val="Definition"/>
        <w:rPr/>
      </w:pPr>
      <w:r>
        <w:rPr/>
        <w:t>“</w:t>
      </w:r>
      <w:r>
        <w:rPr>
          <w:b/>
        </w:rPr>
        <w:t>Cost Milestone</w:t>
      </w:r>
      <w:r>
        <w:rPr/>
        <w:t>”</w:t>
      </w:r>
      <w:r>
        <w:rPr>
          <w:b/>
        </w:rPr>
        <w:t xml:space="preserve"> </w:t>
      </w:r>
      <w:r>
        <w:rPr/>
        <w:t xml:space="preserve">shall mean the date Developer notifies Purchaser that TVA has made a formal determination (i.e. in the studies to be performed by TVA, in written correspondence with TVA, in the final draft of the TVA Interconnection Agreement, or similar confirmation by TVA) that the Network Upgrade Cost will not be greater than $10,000,000 (U.S.) and that the TVA construction schedule contained in the final Facilities Study indicates that a commercial on-line date of June 1, 2002 for the Project is feasible.  </w:t>
      </w:r>
    </w:p>
    <w:p>
      <w:pPr>
        <w:pStyle w:val="Definition"/>
        <w:rPr>
          <w:b/>
        </w:rPr>
      </w:pPr>
      <w:r>
        <w:rPr/>
        <w:t>“</w:t>
      </w:r>
      <w:r>
        <w:rPr>
          <w:b/>
        </w:rPr>
        <w:t>Developer</w:t>
      </w:r>
      <w:r>
        <w:rPr/>
        <w:t>”</w:t>
      </w:r>
      <w:r>
        <w:rPr>
          <w:b/>
        </w:rPr>
        <w:t xml:space="preserve"> </w:t>
      </w:r>
      <w:r>
        <w:rPr/>
        <w:t>has the meaning provided therefor in the Preamble to the Project Development Agreement.</w:t>
      </w:r>
    </w:p>
    <w:p>
      <w:pPr>
        <w:pStyle w:val="Definition"/>
        <w:rPr/>
      </w:pPr>
      <w:r>
        <w:rPr/>
        <w:t>“</w:t>
      </w:r>
      <w:r>
        <w:rPr>
          <w:b/>
        </w:rPr>
        <w:t>Development Milestones</w:t>
      </w:r>
      <w:r>
        <w:rPr/>
        <w:t>”</w:t>
      </w:r>
      <w:r>
        <w:rPr>
          <w:b/>
        </w:rPr>
        <w:t xml:space="preserve"> </w:t>
      </w:r>
      <w:r>
        <w:rPr/>
        <w:t>shall mean the Interconnection Milestone and the Cost Milestone.</w:t>
      </w:r>
    </w:p>
    <w:p>
      <w:pPr>
        <w:pStyle w:val="Definition"/>
        <w:rPr/>
      </w:pPr>
      <w:r>
        <w:rPr/>
        <w:t>“</w:t>
      </w:r>
      <w:r>
        <w:rPr>
          <w:b/>
        </w:rPr>
        <w:t>Dispute</w:t>
      </w:r>
      <w:r>
        <w:rPr/>
        <w:t>” has the meaning specified therefor in Section 7.4 of the Purchase Agreement.</w:t>
      </w:r>
    </w:p>
    <w:p>
      <w:pPr>
        <w:pStyle w:val="Definition"/>
        <w:rPr/>
      </w:pPr>
      <w:r>
        <w:rPr/>
        <w:t>“</w:t>
      </w:r>
      <w:r>
        <w:rPr>
          <w:b/>
        </w:rPr>
        <w:t>Effective Date</w:t>
      </w:r>
      <w:r>
        <w:rPr/>
        <w:t>”</w:t>
      </w:r>
      <w:r>
        <w:rPr>
          <w:b/>
        </w:rPr>
        <w:t xml:space="preserve"> </w:t>
      </w:r>
      <w:r>
        <w:rPr/>
        <w:t>has the meaning provided therefor in the preamble to the Purchase Agreement.</w:t>
      </w:r>
    </w:p>
    <w:p>
      <w:pPr>
        <w:pStyle w:val="Definition"/>
        <w:rPr/>
      </w:pPr>
      <w:r>
        <w:rPr/>
        <w:t>“</w:t>
      </w:r>
      <w:r>
        <w:rPr>
          <w:b/>
        </w:rPr>
        <w:t>Entity</w:t>
      </w:r>
      <w:r>
        <w:rPr/>
        <w:t>”</w:t>
      </w:r>
      <w:r>
        <w:rPr>
          <w:b/>
        </w:rPr>
        <w:t xml:space="preserve"> </w:t>
      </w:r>
      <w:r>
        <w:rPr/>
        <w:t>means any corporation, limited liability company, limited or general partnership, joint venture, association, joint-stock company, business trust, trust or unincorporated organization.</w:t>
      </w:r>
    </w:p>
    <w:p>
      <w:pPr>
        <w:pStyle w:val="Definition"/>
        <w:rPr/>
      </w:pPr>
      <w:r>
        <w:rPr/>
        <w:t>“</w:t>
      </w:r>
      <w:r>
        <w:rPr>
          <w:b/>
        </w:rPr>
        <w:t>Expiration Date</w:t>
      </w:r>
      <w:r>
        <w:rPr/>
        <w:t>”</w:t>
      </w:r>
      <w:r>
        <w:rPr>
          <w:b/>
        </w:rPr>
        <w:t xml:space="preserve"> </w:t>
      </w:r>
      <w:r>
        <w:rPr/>
        <w:t>means May 1, 2001.</w:t>
      </w:r>
    </w:p>
    <w:p>
      <w:pPr>
        <w:pStyle w:val="Definition"/>
        <w:rPr/>
      </w:pPr>
      <w:r>
        <w:rPr/>
        <w:t>“</w:t>
      </w:r>
      <w:r>
        <w:rPr>
          <w:b/>
        </w:rPr>
        <w:t>Facilities Study</w:t>
      </w:r>
      <w:r>
        <w:rPr/>
        <w:t>”</w:t>
      </w:r>
      <w:r>
        <w:rPr>
          <w:b/>
        </w:rPr>
        <w:t xml:space="preserve"> </w:t>
      </w:r>
      <w:r>
        <w:rPr/>
        <w:t>shall mean a study undertaken by TVA following the completion of the System Impact Study to determine the Network Upgrade Costs and interconnection costs.</w:t>
      </w:r>
    </w:p>
    <w:p>
      <w:pPr>
        <w:pStyle w:val="Definition"/>
        <w:rPr/>
      </w:pPr>
      <w:r>
        <w:rPr/>
        <w:t>“</w:t>
      </w:r>
      <w:r>
        <w:rPr>
          <w:b/>
        </w:rPr>
        <w:t>Governmental Authority</w:t>
      </w:r>
      <w:r>
        <w:rPr/>
        <w:t>” means any federal, native American Indian state, province, county, city, municipal or other political subdivision or government, department, commission, board, bureau, court, agency or any other instrumentality of any of them.</w:t>
      </w:r>
    </w:p>
    <w:p>
      <w:pPr>
        <w:pStyle w:val="Definition"/>
        <w:rPr/>
      </w:pPr>
      <w:r>
        <w:rPr/>
        <w:t>“</w:t>
      </w:r>
      <w:r>
        <w:rPr>
          <w:b/>
        </w:rPr>
        <w:t>Guaranty</w:t>
      </w:r>
      <w:r>
        <w:rPr/>
        <w:t>”</w:t>
      </w:r>
      <w:r>
        <w:rPr>
          <w:b/>
        </w:rPr>
        <w:t xml:space="preserve"> </w:t>
      </w:r>
      <w:r>
        <w:rPr/>
        <w:t>means that certain Guaranty executed by AES Corporation guaranteeing the obligations of Purchaser under the Purchase Agreement and the Project Development Agreement, the form of which is attached as Exhibit “B” to the Purchase Agreement.</w:t>
      </w:r>
    </w:p>
    <w:p>
      <w:pPr>
        <w:pStyle w:val="Definition"/>
        <w:rPr/>
      </w:pPr>
      <w:r>
        <w:rPr/>
        <w:t>“</w:t>
      </w:r>
      <w:r>
        <w:rPr>
          <w:b/>
        </w:rPr>
        <w:t>Haywood Site</w:t>
      </w:r>
      <w:r>
        <w:rPr/>
        <w:t>”</w:t>
      </w:r>
      <w:r>
        <w:rPr>
          <w:b/>
        </w:rPr>
        <w:t xml:space="preserve"> </w:t>
      </w:r>
      <w:r>
        <w:rPr/>
        <w:t>means approximately 80-acres of property located in Haywood County, Tennessee, described in the Land Option Agreement.</w:t>
      </w:r>
    </w:p>
    <w:p>
      <w:pPr>
        <w:pStyle w:val="Definition"/>
        <w:rPr/>
      </w:pPr>
      <w:r>
        <w:rPr/>
        <w:t>“</w:t>
      </w:r>
      <w:r>
        <w:rPr>
          <w:b/>
        </w:rPr>
        <w:t>Interconnection Milestone</w:t>
      </w:r>
      <w:r>
        <w:rPr/>
        <w:t>”</w:t>
      </w:r>
      <w:r>
        <w:rPr>
          <w:b/>
        </w:rPr>
        <w:t xml:space="preserve"> </w:t>
      </w:r>
      <w:r>
        <w:rPr/>
        <w:t>shall mean the delivery of the final TVA Interconnection Agreement for execution by the Company (without the requirement that such agreement be entered into by either party) in a form that TVA has agreed to execute.</w:t>
      </w:r>
    </w:p>
    <w:p>
      <w:pPr>
        <w:pStyle w:val="Definition"/>
        <w:rPr/>
      </w:pPr>
      <w:r>
        <w:rPr/>
        <w:t>“</w:t>
      </w:r>
      <w:r>
        <w:rPr>
          <w:b/>
        </w:rPr>
        <w:t>Interests</w:t>
      </w:r>
      <w:r>
        <w:rPr/>
        <w:t>” means all of the membership interests of the Company.</w:t>
      </w:r>
    </w:p>
    <w:p>
      <w:pPr>
        <w:pStyle w:val="Definition"/>
        <w:rPr/>
      </w:pPr>
      <w:r>
        <w:rPr/>
        <w:t>“</w:t>
      </w:r>
      <w:r>
        <w:rPr>
          <w:b/>
        </w:rPr>
        <w:t>Land Acquisition Costs</w:t>
      </w:r>
      <w:r>
        <w:rPr/>
        <w:t>” means the “</w:t>
      </w:r>
      <w:r>
        <w:rPr>
          <w:b/>
        </w:rPr>
        <w:t>Purchase Price</w:t>
      </w:r>
      <w:r>
        <w:rPr/>
        <w:t>” as defined in the Land Option Agreement to the extent such amounts have not been previously paid to the “</w:t>
      </w:r>
      <w:r>
        <w:rPr>
          <w:b/>
        </w:rPr>
        <w:t>Sellers</w:t>
      </w:r>
      <w:r>
        <w:rPr/>
        <w:t>” or “</w:t>
      </w:r>
      <w:r>
        <w:rPr>
          <w:b/>
        </w:rPr>
        <w:t>Optionor’s</w:t>
      </w:r>
      <w:r>
        <w:rPr/>
        <w:t>” under such Land Option Agreement.</w:t>
      </w:r>
    </w:p>
    <w:p>
      <w:pPr>
        <w:pStyle w:val="Definition"/>
        <w:rPr/>
      </w:pPr>
      <w:r>
        <w:rPr/>
        <w:t>“</w:t>
      </w:r>
      <w:r>
        <w:rPr>
          <w:b/>
        </w:rPr>
        <w:t>Land Option Agreement</w:t>
      </w:r>
      <w:r>
        <w:rPr/>
        <w:t>” means the Option to Purchase Real Estate, dated July 6, 2000, by and between Volunteer Land Development Company, L.L.C. and Pat H. Mann and assigned to the Company pursuant to that certain Assignment and Assumption of Option to Purchase Real Estate dated as of October 27, 2000 attached to the Purchase Agreement as Schedule 3.2(b), exclusive of any amendments thereto subsequent to the Closing.</w:t>
      </w:r>
    </w:p>
    <w:p>
      <w:pPr>
        <w:pStyle w:val="Definition"/>
        <w:rPr/>
      </w:pPr>
      <w:r>
        <w:rPr/>
        <w:t>“</w:t>
      </w:r>
      <w:r>
        <w:rPr>
          <w:b/>
        </w:rPr>
        <w:t>Network Upgrade Cost</w:t>
      </w:r>
      <w:r>
        <w:rPr/>
        <w:t>”</w:t>
      </w:r>
      <w:r>
        <w:rPr>
          <w:b/>
        </w:rPr>
        <w:t xml:space="preserve"> </w:t>
      </w:r>
      <w:r>
        <w:rPr/>
        <w:t>shall mean all costs estimated by TVA to be payable in the TVA Interconnection Agreement in order to reimburse TVA for the cost of constructing the Network Upgrades.</w:t>
      </w:r>
    </w:p>
    <w:p>
      <w:pPr>
        <w:pStyle w:val="Definition"/>
        <w:rPr/>
      </w:pPr>
      <w:r>
        <w:rPr/>
        <w:t>“</w:t>
      </w:r>
      <w:r>
        <w:rPr>
          <w:b/>
        </w:rPr>
        <w:t>Network Upgrades</w:t>
      </w:r>
      <w:r>
        <w:rPr/>
        <w:t>”</w:t>
      </w:r>
      <w:r>
        <w:rPr>
          <w:b/>
        </w:rPr>
        <w:t xml:space="preserve"> </w:t>
      </w:r>
      <w:r>
        <w:rPr/>
        <w:t>shall mean the network improvements required by TVA pursuant to the TVA Interconnection Agreement.</w:t>
      </w:r>
    </w:p>
    <w:p>
      <w:pPr>
        <w:pStyle w:val="Definition"/>
        <w:rPr/>
      </w:pPr>
      <w:r>
        <w:rPr/>
        <w:t>“</w:t>
      </w:r>
      <w:r>
        <w:rPr>
          <w:b/>
        </w:rPr>
        <w:t>Option Consideration</w:t>
      </w:r>
      <w:r>
        <w:rPr/>
        <w:t>” has the meaning set forth in Section 2.1 of the Purchase Agreement.</w:t>
      </w:r>
    </w:p>
    <w:p>
      <w:pPr>
        <w:pStyle w:val="Definition"/>
        <w:rPr/>
      </w:pPr>
      <w:r>
        <w:rPr/>
        <w:t>“</w:t>
      </w:r>
      <w:r>
        <w:rPr>
          <w:b/>
        </w:rPr>
        <w:t>Person</w:t>
      </w:r>
      <w:r>
        <w:rPr/>
        <w:t>”</w:t>
      </w:r>
      <w:r>
        <w:rPr>
          <w:b/>
        </w:rPr>
        <w:t xml:space="preserve"> </w:t>
      </w:r>
      <w:r>
        <w:rPr/>
        <w:t>means any individual, Entity or Governmental Authority.</w:t>
      </w:r>
    </w:p>
    <w:p>
      <w:pPr>
        <w:pStyle w:val="Definition"/>
        <w:rPr/>
      </w:pPr>
      <w:r>
        <w:rPr/>
        <w:t>“</w:t>
      </w:r>
      <w:r>
        <w:rPr>
          <w:b/>
        </w:rPr>
        <w:t>Project</w:t>
      </w:r>
      <w:r>
        <w:rPr/>
        <w:t>”</w:t>
      </w:r>
      <w:r>
        <w:rPr>
          <w:b/>
        </w:rPr>
        <w:t xml:space="preserve"> </w:t>
      </w:r>
      <w:r>
        <w:rPr/>
        <w:t>means development of a gas-fired power plant utilizing three (3) Westinghouse 501 F or Mitsubishi M5O1 F combustion turbine generators at the Haywood Site.</w:t>
      </w:r>
    </w:p>
    <w:p>
      <w:pPr>
        <w:pStyle w:val="Definition"/>
        <w:rPr/>
      </w:pPr>
      <w:r>
        <w:rPr/>
        <w:t>“</w:t>
      </w:r>
      <w:r>
        <w:rPr>
          <w:b/>
        </w:rPr>
        <w:t>Project Development Agreement</w:t>
      </w:r>
      <w:r>
        <w:rPr/>
        <w:t>”</w:t>
      </w:r>
      <w:r>
        <w:rPr>
          <w:b/>
        </w:rPr>
        <w:t xml:space="preserve"> </w:t>
      </w:r>
      <w:r>
        <w:rPr/>
        <w:t>the Project Development Agreement by and between AES Greystone, L.L.C., a Delaware limited liability company, as “</w:t>
      </w:r>
      <w:r>
        <w:rPr>
          <w:b/>
        </w:rPr>
        <w:t>Purchaser</w:t>
      </w:r>
      <w:r>
        <w:rPr/>
        <w:t>,” and Volunteer Land Development Company, L.L.C., Delaware limited liability company, as “</w:t>
      </w:r>
      <w:r>
        <w:rPr>
          <w:b/>
        </w:rPr>
        <w:t>Developer</w:t>
      </w:r>
      <w:r>
        <w:rPr/>
        <w:t>,” dated as of the Effective Date, as the same may be amended, supplemented or modified from time to time.</w:t>
      </w:r>
    </w:p>
    <w:p>
      <w:pPr>
        <w:pStyle w:val="Definition"/>
        <w:rPr/>
      </w:pPr>
      <w:r>
        <w:rPr/>
        <w:t>“</w:t>
      </w:r>
      <w:r>
        <w:rPr>
          <w:b/>
        </w:rPr>
        <w:t>Project Documents</w:t>
      </w:r>
      <w:r>
        <w:rPr/>
        <w:t>”</w:t>
      </w:r>
      <w:r>
        <w:rPr>
          <w:b/>
        </w:rPr>
        <w:t xml:space="preserve"> </w:t>
      </w:r>
      <w:r>
        <w:rPr/>
        <w:t>means all of the documents contained in the binder titled Project Documents dated December 15, 2000 delivered to Purchaser contemporaneously with the execution of the Purchase Agreement.</w:t>
      </w:r>
    </w:p>
    <w:p>
      <w:pPr>
        <w:pStyle w:val="Definition"/>
        <w:rPr/>
      </w:pPr>
      <w:r>
        <w:rPr/>
        <w:t>“</w:t>
      </w:r>
      <w:r>
        <w:rPr>
          <w:b/>
        </w:rPr>
        <w:t>Purchase Agreement</w:t>
      </w:r>
      <w:r>
        <w:rPr/>
        <w:t>”</w:t>
      </w:r>
      <w:r>
        <w:rPr>
          <w:b/>
        </w:rPr>
        <w:t xml:space="preserve"> </w:t>
      </w:r>
      <w:r>
        <w:rPr/>
        <w:t>means the Securities Purchase Agreement by and between AES Greystone, L.L.C., a Delaware limited liability company, as “</w:t>
      </w:r>
      <w:r>
        <w:rPr>
          <w:b/>
        </w:rPr>
        <w:t>Purchaser</w:t>
      </w:r>
      <w:r>
        <w:rPr/>
        <w:t>,” and Volunteer Land Development Company, L.L.C., a Delaware limited liability company, as “</w:t>
      </w:r>
      <w:r>
        <w:rPr>
          <w:b/>
        </w:rPr>
        <w:t>Seller</w:t>
      </w:r>
      <w:r>
        <w:rPr/>
        <w:t>,” dated as of the Effective Date, as the same may be amended, supplemented or modified from time to time.</w:t>
      </w:r>
    </w:p>
    <w:p>
      <w:pPr>
        <w:pStyle w:val="Definition"/>
        <w:rPr/>
      </w:pPr>
      <w:r>
        <w:rPr/>
        <w:t>“</w:t>
      </w:r>
      <w:r>
        <w:rPr>
          <w:b/>
        </w:rPr>
        <w:t>Purchase Price</w:t>
      </w:r>
      <w:r>
        <w:rPr/>
        <w:t>”</w:t>
      </w:r>
      <w:r>
        <w:rPr>
          <w:b/>
        </w:rPr>
        <w:t xml:space="preserve"> </w:t>
      </w:r>
      <w:r>
        <w:rPr/>
        <w:t>has the meaning set forth in Section 2.2 of the Purchase Agreement.</w:t>
      </w:r>
    </w:p>
    <w:p>
      <w:pPr>
        <w:pStyle w:val="Definition"/>
        <w:rPr/>
      </w:pPr>
      <w:r>
        <w:rPr/>
        <w:t>“</w:t>
      </w:r>
      <w:r>
        <w:rPr>
          <w:b/>
        </w:rPr>
        <w:t>Purchaser</w:t>
      </w:r>
      <w:r>
        <w:rPr/>
        <w:t>”</w:t>
      </w:r>
      <w:r>
        <w:rPr>
          <w:b/>
        </w:rPr>
        <w:t xml:space="preserve"> </w:t>
      </w:r>
      <w:r>
        <w:rPr/>
        <w:t>has the meaning provided therefor in the Preamble to the Purchase Agreement.</w:t>
      </w:r>
    </w:p>
    <w:p>
      <w:pPr>
        <w:pStyle w:val="Definition"/>
        <w:rPr/>
      </w:pPr>
      <w:r>
        <w:rPr/>
        <w:t>“</w:t>
      </w:r>
      <w:r>
        <w:rPr>
          <w:b/>
        </w:rPr>
        <w:t>Purchaser Contact Parties</w:t>
      </w:r>
      <w:r>
        <w:rPr/>
        <w:t>”</w:t>
      </w:r>
      <w:r>
        <w:rPr>
          <w:b/>
        </w:rPr>
        <w:t xml:space="preserve"> </w:t>
      </w:r>
      <w:r>
        <w:rPr/>
        <w:t>means potential lenders for the Project, financial advisors to the Purchaser regarding the Project, environmental consultants retained by Purchaser regarding the Project, the turbine manufacturer, potential Project engineering, procurement and construction contractors, potential Project natural gas suppliers, and potential power purchasers for the Project.</w:t>
      </w:r>
    </w:p>
    <w:p>
      <w:pPr>
        <w:pStyle w:val="Definition"/>
        <w:rPr/>
      </w:pPr>
      <w:r>
        <w:rPr/>
        <w:t>“</w:t>
      </w:r>
      <w:r>
        <w:rPr>
          <w:b/>
        </w:rPr>
        <w:t>Purchasers’ Termination Option</w:t>
      </w:r>
      <w:r>
        <w:rPr/>
        <w:t>”</w:t>
      </w:r>
      <w:r>
        <w:rPr>
          <w:b/>
        </w:rPr>
        <w:t xml:space="preserve"> </w:t>
      </w:r>
      <w:r>
        <w:rPr/>
        <w:t>has the meaning set forth therefor in Section 7.3(a) of the Purchase Agreement.</w:t>
      </w:r>
    </w:p>
    <w:p>
      <w:pPr>
        <w:pStyle w:val="Definition"/>
        <w:rPr/>
      </w:pPr>
      <w:r>
        <w:rPr/>
        <w:t>“</w:t>
      </w:r>
      <w:r>
        <w:rPr>
          <w:b/>
        </w:rPr>
        <w:t>Securities Act</w:t>
      </w:r>
      <w:r>
        <w:rPr/>
        <w:t>”</w:t>
      </w:r>
      <w:r>
        <w:rPr>
          <w:b/>
        </w:rPr>
        <w:t xml:space="preserve"> </w:t>
      </w:r>
      <w:r>
        <w:rPr/>
        <w:t>means the Securities Act of 1933, as amended from time to time, and the rules and regulations of the Commission promulgated thereunder.</w:t>
      </w:r>
    </w:p>
    <w:p>
      <w:pPr>
        <w:pStyle w:val="Definition"/>
        <w:rPr/>
      </w:pPr>
      <w:r>
        <w:rPr/>
        <w:t>“</w:t>
      </w:r>
      <w:r>
        <w:rPr>
          <w:b/>
        </w:rPr>
        <w:t>Seller</w:t>
      </w:r>
      <w:r>
        <w:rPr/>
        <w:t>”</w:t>
      </w:r>
      <w:r>
        <w:rPr>
          <w:b/>
        </w:rPr>
        <w:t xml:space="preserve"> </w:t>
      </w:r>
      <w:r>
        <w:rPr/>
        <w:t>has the meaning provided therefor in the preamble to the Purchase Agreement.</w:t>
      </w:r>
    </w:p>
    <w:p>
      <w:pPr>
        <w:pStyle w:val="Definition"/>
        <w:rPr/>
      </w:pPr>
      <w:r>
        <w:rPr/>
        <w:t>“</w:t>
      </w:r>
      <w:r>
        <w:rPr>
          <w:b/>
        </w:rPr>
        <w:t>State</w:t>
      </w:r>
      <w:r>
        <w:rPr/>
        <w:t>”</w:t>
      </w:r>
      <w:r>
        <w:rPr>
          <w:b/>
        </w:rPr>
        <w:t xml:space="preserve"> </w:t>
      </w:r>
      <w:r>
        <w:rPr/>
        <w:t>means each of the states of the United States, the District of Columbia and the Commonwealth of Puerto Rico.</w:t>
      </w:r>
    </w:p>
    <w:p>
      <w:pPr>
        <w:pStyle w:val="Definition"/>
        <w:rPr/>
      </w:pPr>
      <w:r>
        <w:rPr/>
        <w:t>“</w:t>
      </w:r>
      <w:r>
        <w:rPr>
          <w:b/>
        </w:rPr>
        <w:t>Study Costs</w:t>
      </w:r>
      <w:r>
        <w:rPr/>
        <w:t>”</w:t>
      </w:r>
      <w:r>
        <w:rPr>
          <w:b/>
        </w:rPr>
        <w:t xml:space="preserve"> </w:t>
      </w:r>
      <w:r>
        <w:rPr/>
        <w:t>has the meaning provided therefor in Section 3.6 of the Project Development Agreement.</w:t>
      </w:r>
    </w:p>
    <w:p>
      <w:pPr>
        <w:pStyle w:val="Definition"/>
        <w:rPr>
          <w:b/>
        </w:rPr>
      </w:pPr>
      <w:r>
        <w:rPr/>
        <w:t>“</w:t>
      </w:r>
      <w:r>
        <w:rPr>
          <w:b/>
        </w:rPr>
        <w:t>System Impact Study</w:t>
      </w:r>
      <w:r>
        <w:rPr/>
        <w:t>” shall mean the initial study by TVA which estimates direct interconnection costs and Network Upgrade Costs.</w:t>
      </w:r>
    </w:p>
    <w:p>
      <w:pPr>
        <w:pStyle w:val="Definition"/>
        <w:rPr/>
      </w:pPr>
      <w:r>
        <w:rPr/>
        <w:t>“</w:t>
      </w:r>
      <w:r>
        <w:rPr>
          <w:b/>
        </w:rPr>
        <w:t>Termination Date</w:t>
      </w:r>
      <w:r>
        <w:rPr/>
        <w:t>”</w:t>
      </w:r>
      <w:r>
        <w:rPr>
          <w:b/>
        </w:rPr>
        <w:t xml:space="preserve"> </w:t>
      </w:r>
      <w:r>
        <w:rPr/>
        <w:t>has the meaning specified therefor in Section 7.1 of the Purchase Agreement.</w:t>
      </w:r>
    </w:p>
    <w:p>
      <w:pPr>
        <w:pStyle w:val="Definition"/>
        <w:rPr/>
      </w:pPr>
      <w:r>
        <w:rPr/>
        <w:t>“</w:t>
      </w:r>
      <w:r>
        <w:rPr>
          <w:b/>
        </w:rPr>
        <w:t>TVA</w:t>
      </w:r>
      <w:r>
        <w:rPr/>
        <w:t>”</w:t>
      </w:r>
      <w:r>
        <w:rPr>
          <w:b/>
        </w:rPr>
        <w:t xml:space="preserve"> </w:t>
      </w:r>
      <w:r>
        <w:rPr/>
        <w:t>shall mean the Tennessee Valley Authority, a corporation created by and existing under and by virtue of the Tennessee Valley Authority Act of 1933, as amended.</w:t>
      </w:r>
    </w:p>
    <w:p>
      <w:pPr>
        <w:pStyle w:val="Definition"/>
        <w:rPr/>
      </w:pPr>
      <w:r>
        <w:rPr/>
        <w:t>“</w:t>
      </w:r>
      <w:r>
        <w:rPr>
          <w:b/>
        </w:rPr>
        <w:t>TVA Interconnection Agreement</w:t>
      </w:r>
      <w:r>
        <w:rPr/>
        <w:t>”</w:t>
      </w:r>
      <w:r>
        <w:rPr>
          <w:b/>
        </w:rPr>
        <w:t xml:space="preserve"> </w:t>
      </w:r>
      <w:r>
        <w:rPr/>
        <w:t>shall mean an interconnection agreement by and between TVA and the Company in substantially the same form as that certain Interconnection Agreement between Tennessee Valley Authority and Gleason Power I, L.L.C. dated as of March 14, 2000, a copy of which is attached to the Project Development Agreement as Exhibit “A”.</w:t>
      </w:r>
    </w:p>
    <w:p>
      <w:pPr>
        <w:pStyle w:val="Definition"/>
        <w:rPr/>
      </w:pPr>
      <w:r>
        <w:rPr/>
        <w:t>“</w:t>
      </w:r>
      <w:r>
        <w:rPr>
          <w:b/>
        </w:rPr>
        <w:t>TVA Project Configuration Form</w:t>
      </w:r>
      <w:r>
        <w:rPr/>
        <w:t>”</w:t>
      </w:r>
      <w:r>
        <w:rPr>
          <w:b/>
        </w:rPr>
        <w:t xml:space="preserve"> </w:t>
      </w:r>
      <w:r>
        <w:rPr/>
        <w:t>shall mean the form attached as Exhibit “B” to the Project Development Agreement.</w:t>
      </w:r>
    </w:p>
    <w:p>
      <w:pPr>
        <w:pStyle w:val="Definition"/>
        <w:rPr/>
      </w:pPr>
      <w:r>
        <w:rPr/>
      </w:r>
    </w:p>
    <w:p>
      <w:pPr>
        <w:pStyle w:val="FootnoteText"/>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Houston\1197490.4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b/>
        <w:rFonts w:ascii="Times New Roman Bold" w:hAnsi="Times New Roman Bold" w:cs="Times New Roman Bold"/>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800"/>
        </w:tabs>
        <w:ind w:start="0" w:firstLine="1440"/>
      </w:pPr>
    </w:lvl>
    <w:lvl w:ilvl="3">
      <w:start w:val="1"/>
      <w:pStyle w:val="Heading4"/>
      <w:numFmt w:val="lowerRoman"/>
      <w:lvlText w:val="(%4)"/>
      <w:lvlJc w:val="start"/>
      <w:pPr>
        <w:tabs>
          <w:tab w:val="num" w:pos="2880"/>
        </w:tabs>
        <w:ind w:start="2880" w:hanging="720"/>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1080"/>
        </w:tabs>
        <w:ind w:start="720" w:hanging="0"/>
      </w:pPr>
      <w:rPr>
        <w:rFonts w:ascii="Symbol" w:hAnsi="Symbol" w:cs="Symbol" w:hint="default"/>
        <w:sz w:val="20"/>
      </w:rPr>
    </w:lvl>
  </w:abstractNum>
  <w:abstractNum w:abstractNumId="6">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Times New Roman Bold" w:hAnsi="Times New Roman Bold" w:cs="Times New Roman Bold"/>
      <w:b/>
      <w:kern w:val="2"/>
    </w:rPr>
  </w:style>
  <w:style w:type="paragraph" w:styleId="Heading2">
    <w:name w:val="heading 2"/>
    <w:basedOn w:val="Normal"/>
    <w:next w:val="Normal"/>
    <w:qFormat/>
    <w:pPr>
      <w:numPr>
        <w:ilvl w:val="1"/>
        <w:numId w:val="1"/>
      </w:numPr>
      <w:spacing w:before="240" w:after="60"/>
      <w:outlineLvl w:val="1"/>
    </w:pPr>
    <w:rPr/>
  </w:style>
  <w:style w:type="paragraph" w:styleId="Heading3">
    <w:name w:val="heading 3"/>
    <w:basedOn w:val="Normal"/>
    <w:next w:val="Normal"/>
    <w:qFormat/>
    <w:pPr>
      <w:numPr>
        <w:ilvl w:val="2"/>
        <w:numId w:val="1"/>
      </w:numPr>
      <w:spacing w:before="240" w:after="60"/>
      <w:outlineLvl w:val="2"/>
    </w:pPr>
    <w:rPr/>
  </w:style>
  <w:style w:type="paragraph" w:styleId="Heading4">
    <w:name w:val="heading 4"/>
    <w:basedOn w:val="Normal"/>
    <w:next w:val="Normal"/>
    <w:qFormat/>
    <w:pPr>
      <w:numPr>
        <w:ilvl w:val="3"/>
        <w:numId w:val="1"/>
      </w:numPr>
      <w:spacing w:before="240" w:after="60"/>
      <w:outlineLvl w:val="3"/>
    </w:pPr>
    <w:rPr/>
  </w:style>
  <w:style w:type="character" w:styleId="WW8Num5z0">
    <w:name w:val="WW8Num5z0"/>
    <w:qFormat/>
    <w:rPr>
      <w:rFonts w:ascii="Times New Roman" w:hAnsi="Times New Roman" w:cs="Times New Roman"/>
      <w:b w:val="false"/>
      <w:i w:val="false"/>
      <w:color w:val="auto"/>
      <w:sz w:val="24"/>
      <w:u w:val="none"/>
    </w:rPr>
  </w:style>
  <w:style w:type="character" w:styleId="WW8Num5z3">
    <w:name w:val="WW8Num5z3"/>
    <w:qFormat/>
    <w:rPr>
      <w:rFonts w:ascii="TIMES" w:hAnsi="TIMES" w:cs="TIMES"/>
      <w:b w:val="false"/>
      <w:i w:val="false"/>
      <w:color w:val="auto"/>
      <w:sz w:val="24"/>
      <w:u w:val="none"/>
    </w:rPr>
  </w:style>
  <w:style w:type="character" w:styleId="WW8Num6z0">
    <w:name w:val="WW8Num6z0"/>
    <w:qFormat/>
    <w:rPr>
      <w:rFonts w:ascii="Times New Roman" w:hAnsi="Times New Roman" w:cs="Times New Roman"/>
      <w:b w:val="false"/>
      <w:i w:val="false"/>
      <w:sz w:val="24"/>
      <w:u w:val="none"/>
    </w:rPr>
  </w:style>
  <w:style w:type="character" w:styleId="WW8Num6z1">
    <w:name w:val="WW8Num6z1"/>
    <w:qFormat/>
    <w:rPr>
      <w:rFonts w:ascii="Times New Roman" w:hAnsi="Times New Roman" w:cs="Times New Roman"/>
      <w:b w:val="false"/>
      <w:i w:val="false"/>
      <w:sz w:val="24"/>
    </w:rPr>
  </w:style>
  <w:style w:type="character" w:styleId="WW8Num6z2">
    <w:name w:val="WW8Num6z2"/>
    <w:qFormat/>
    <w:rPr>
      <w:b w:val="false"/>
      <w:i w:val="false"/>
      <w:sz w:val="24"/>
      <w:u w:val="none"/>
    </w:rPr>
  </w:style>
  <w:style w:type="character" w:styleId="WW8Num9z0">
    <w:name w:val="WW8Num9z0"/>
    <w:qFormat/>
    <w:rPr>
      <w:b/>
      <w:i w:val="false"/>
      <w:sz w:val="24"/>
      <w:u w:val="none"/>
    </w:rPr>
  </w:style>
  <w:style w:type="character" w:styleId="WW8Num9z1">
    <w:name w:val="WW8Num9z1"/>
    <w:qFormat/>
    <w:rPr>
      <w:rFonts w:ascii="Times New Roman" w:hAnsi="Times New Roman" w:cs="Times New Roman"/>
      <w:b w:val="false"/>
      <w:i w:val="false"/>
      <w:color w:val="000000"/>
      <w:sz w:val="24"/>
      <w:u w:val="none"/>
    </w:rPr>
  </w:style>
  <w:style w:type="character" w:styleId="WW8Num10z0">
    <w:name w:val="WW8Num10z0"/>
    <w:qFormat/>
    <w:rPr>
      <w:rFonts w:ascii="Times New Roman" w:hAnsi="Times New Roman" w:cs="Times New Roman"/>
      <w:b w:val="false"/>
      <w:i w:val="false"/>
      <w:color w:val="auto"/>
      <w:sz w:val="24"/>
      <w:u w:val="none"/>
    </w:rPr>
  </w:style>
  <w:style w:type="character" w:styleId="WW8Num10z3">
    <w:name w:val="WW8Num10z3"/>
    <w:qFormat/>
    <w:rPr>
      <w:rFonts w:ascii="TIMES" w:hAnsi="TIMES" w:cs="TIMES"/>
      <w:b w:val="false"/>
      <w:i w:val="false"/>
      <w:color w:val="auto"/>
      <w:sz w:val="24"/>
      <w:u w:val="none"/>
    </w:rPr>
  </w:style>
  <w:style w:type="character" w:styleId="WW8Num11z0">
    <w:name w:val="WW8Num11z0"/>
    <w:qFormat/>
    <w:rPr>
      <w:rFonts w:ascii="Times New Roman Bold" w:hAnsi="Times New Roman Bold" w:cs="Times New Roman Bold"/>
      <w:b/>
      <w:i w:val="false"/>
      <w:sz w:val="24"/>
    </w:rPr>
  </w:style>
  <w:style w:type="character" w:styleId="WW8Num11z1">
    <w:name w:val="WW8Num11z1"/>
    <w:qFormat/>
    <w:rPr>
      <w:rFonts w:ascii="Times New Roman" w:hAnsi="Times New Roman" w:cs="Times New Roman"/>
      <w:b w:val="false"/>
      <w:i w:val="false"/>
      <w:sz w:val="24"/>
    </w:rPr>
  </w:style>
  <w:style w:type="character" w:styleId="WW8Num12z0">
    <w:name w:val="WW8Num12z0"/>
    <w:qFormat/>
    <w:rPr>
      <w:rFonts w:ascii="Times New Roman" w:hAnsi="Times New Roman" w:cs="Times New Roman"/>
      <w:b/>
      <w:i w:val="false"/>
      <w:sz w:val="24"/>
      <w:u w:val="none"/>
    </w:rPr>
  </w:style>
  <w:style w:type="character" w:styleId="WW8Num12z1">
    <w:name w:val="WW8Num12z1"/>
    <w:qFormat/>
    <w:rPr>
      <w:rFonts w:ascii="Times New Roman" w:hAnsi="Times New Roman" w:cs="Times New Roman"/>
      <w:b w:val="false"/>
      <w:i w:val="false"/>
      <w:sz w:val="24"/>
    </w:rPr>
  </w:style>
  <w:style w:type="character" w:styleId="WW8Num12z2">
    <w:name w:val="WW8Num12z2"/>
    <w:qFormat/>
    <w:rPr>
      <w:b w:val="false"/>
      <w:i w:val="false"/>
      <w:sz w:val="24"/>
      <w:u w:val="no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2">
    <w:name w:val="WW8Num13z2"/>
    <w:qFormat/>
    <w:rPr>
      <w:b w:val="false"/>
      <w:u w:val="none"/>
    </w:rPr>
  </w:style>
  <w:style w:type="character" w:styleId="WW8Num14z0">
    <w:name w:val="WW8Num14z0"/>
    <w:qFormat/>
    <w:rPr>
      <w:rFonts w:ascii="Times New Roman Bold" w:hAnsi="Times New Roman Bold" w:cs="Times New Roman Bold"/>
      <w:b/>
      <w:i w:val="false"/>
      <w:sz w:val="24"/>
    </w:rPr>
  </w:style>
  <w:style w:type="character" w:styleId="WW8Num14z1">
    <w:name w:val="WW8Num14z1"/>
    <w:qFormat/>
    <w:rPr>
      <w:rFonts w:ascii="Times New Roman" w:hAnsi="Times New Roman" w:cs="Times New Roman"/>
      <w:b w:val="false"/>
      <w:i w:val="false"/>
      <w:sz w:val="24"/>
    </w:rPr>
  </w:style>
  <w:style w:type="character" w:styleId="WW8Num15z0">
    <w:name w:val="WW8Num15z0"/>
    <w:qFormat/>
    <w:rPr>
      <w:rFonts w:ascii="Symbol" w:hAnsi="Symbol" w:cs="Symbol"/>
    </w:rPr>
  </w:style>
  <w:style w:type="character" w:styleId="WW8Num16z0">
    <w:name w:val="WW8Num16z0"/>
    <w:qFormat/>
    <w:rPr>
      <w:rFonts w:ascii="Symbol" w:hAnsi="Symbol" w:cs="Symbol"/>
      <w:sz w:val="20"/>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ullet">
    <w:name w:val="Bullet"/>
    <w:basedOn w:val="Normal"/>
    <w:qFormat/>
    <w:pPr>
      <w:numPr>
        <w:ilvl w:val="0"/>
        <w:numId w:val="5"/>
      </w:numPr>
      <w:tabs>
        <w:tab w:val="clear" w:pos="720"/>
      </w:tabs>
      <w:spacing w:before="0" w:after="240"/>
      <w:ind w:hanging="0" w:start="0" w:end="0"/>
    </w:pPr>
    <w:rPr>
      <w:lang w:eastAsia="en-US"/>
    </w:rPr>
  </w:style>
  <w:style w:type="paragraph" w:styleId="BulletIndent">
    <w:name w:val="Bullet +Indent"/>
    <w:basedOn w:val="Bullet"/>
    <w:qFormat/>
    <w:pPr>
      <w:numPr>
        <w:ilvl w:val="0"/>
        <w:numId w:val="4"/>
      </w:numPr>
      <w:tabs>
        <w:tab w:val="left" w:pos="720" w:leader="none"/>
      </w:tabs>
      <w:ind w:hanging="720" w:start="1440" w:end="0"/>
    </w:pPr>
    <w:rPr/>
  </w:style>
  <w:style w:type="paragraph" w:styleId="G3">
    <w:name w:val="G3"/>
    <w:basedOn w:val="Normal"/>
    <w:qFormat/>
    <w:pPr>
      <w:numPr>
        <w:ilvl w:val="0"/>
        <w:numId w:val="2"/>
      </w:numPr>
      <w:tabs>
        <w:tab w:val="clear" w:pos="720"/>
      </w:tabs>
      <w:spacing w:before="0" w:after="240"/>
      <w:ind w:firstLine="630" w:start="90" w:end="0"/>
    </w:pPr>
    <w:rPr>
      <w:lang w:eastAsia="en-US"/>
    </w:rPr>
  </w:style>
  <w:style w:type="paragraph" w:styleId="G4">
    <w:name w:val="G4"/>
    <w:basedOn w:val="Normal"/>
    <w:qFormat/>
    <w:pPr>
      <w:numPr>
        <w:ilvl w:val="0"/>
        <w:numId w:val="6"/>
      </w:numPr>
      <w:spacing w:before="0" w:after="240"/>
    </w:pPr>
    <w:rPr>
      <w:lang w:eastAsia="en-US"/>
    </w:rPr>
  </w:style>
  <w:style w:type="paragraph" w:styleId="G5">
    <w:name w:val="G5"/>
    <w:basedOn w:val="Normal"/>
    <w:qFormat/>
    <w:pPr>
      <w:numPr>
        <w:ilvl w:val="0"/>
        <w:numId w:val="3"/>
      </w:numPr>
      <w:tabs>
        <w:tab w:val="clear" w:pos="720"/>
      </w:tabs>
      <w:spacing w:before="0" w:after="240"/>
      <w:ind w:firstLine="720" w:start="720" w:end="0"/>
    </w:pPr>
    <w:rPr>
      <w:lang w:eastAsia="en-US"/>
    </w:rPr>
  </w:style>
  <w:style w:type="paragraph" w:styleId="FlushRight">
    <w:name w:val="Flush Right"/>
    <w:basedOn w:val="Normal"/>
    <w:qFormat/>
    <w:pPr>
      <w:spacing w:before="0" w:after="240"/>
      <w:jc w:val="end"/>
    </w:pPr>
    <w:rPr>
      <w:lang w:eastAsia="en-US"/>
    </w:rPr>
  </w:style>
  <w:style w:type="paragraph" w:styleId="CenterB">
    <w:name w:val="Center +B"/>
    <w:basedOn w:val="Normal"/>
    <w:qFormat/>
    <w:pPr>
      <w:spacing w:before="0" w:after="240"/>
      <w:jc w:val="center"/>
    </w:pPr>
    <w:rPr>
      <w:rFonts w:ascii="TIMES" w:hAnsi="TIMES" w:cs="TIMES"/>
      <w:b/>
      <w:lang w:eastAsia="en-US"/>
    </w:rPr>
  </w:style>
  <w:style w:type="paragraph" w:styleId="Definition">
    <w:name w:val="Definition"/>
    <w:basedOn w:val="Normal"/>
    <w:qFormat/>
    <w:pPr>
      <w:spacing w:before="0" w:after="240"/>
      <w:ind w:firstLine="720" w:start="0" w:end="0"/>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2000-12-15T17:15:00Z</dcterms:created>
  <dc:creator>Bracewell &amp; Patterson, LLP</dc:creator>
  <dc:description/>
  <dc:language>en-CA</dc:language>
  <cp:lastModifiedBy>Bracewell &amp; Patterson, LLP</cp:lastModifiedBy>
  <dcterms:modified xsi:type="dcterms:W3CDTF">2000-12-15T17:15:00Z</dcterms:modified>
  <cp:revision>2</cp:revision>
  <dc:subject/>
  <dc:title>Schedule 1</dc:title>
</cp:coreProperties>
</file>