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6" w:space="12" w:color="000000"/>
          <w:bottom w:val="single" w:sz="6" w:space="12" w:color="000000"/>
        </w:pBdr>
        <w:tabs>
          <w:tab w:val="clear" w:pos="720"/>
          <w:tab w:val="right" w:pos="8910" w:leader="none"/>
        </w:tabs>
        <w:rPr>
          <w:b/>
          <w:sz w:val="28"/>
        </w:rPr>
      </w:pPr>
      <w:r>
        <w:rPr>
          <w:b/>
          <w:sz w:val="28"/>
        </w:rPr>
        <w:t>Greater Houston Partnership</w:t>
        <w:tab/>
        <w:t>April 3, 2001</w:t>
      </w:r>
    </w:p>
    <w:p>
      <w:pPr>
        <w:pStyle w:val="Normal"/>
        <w:rPr>
          <w:b/>
          <w:sz w:val="28"/>
        </w:rPr>
      </w:pPr>
      <w:r>
        <w:rPr>
          <w:b/>
          <w:sz w:val="28"/>
        </w:rPr>
      </w:r>
    </w:p>
    <w:p>
      <w:pPr>
        <w:pStyle w:val="Normal"/>
        <w:jc w:val="center"/>
        <w:rPr>
          <w:b/>
          <w:sz w:val="28"/>
        </w:rPr>
      </w:pPr>
      <w:r>
        <w:rPr>
          <w:b/>
          <w:sz w:val="28"/>
        </w:rPr>
        <w:t>Resolution of the Board of Directors</w:t>
      </w:r>
    </w:p>
    <w:p>
      <w:pPr>
        <w:pStyle w:val="Normal"/>
        <w:jc w:val="center"/>
        <w:rPr>
          <w:b/>
          <w:sz w:val="28"/>
        </w:rPr>
      </w:pPr>
      <w:r>
        <w:rPr>
          <w:b/>
          <w:sz w:val="28"/>
        </w:rPr>
        <w:t>In Support of the</w:t>
      </w:r>
    </w:p>
    <w:p>
      <w:pPr>
        <w:pStyle w:val="Normal"/>
        <w:jc w:val="center"/>
        <w:rPr>
          <w:b/>
          <w:sz w:val="28"/>
        </w:rPr>
      </w:pPr>
      <w:r>
        <w:rPr>
          <w:b/>
          <w:sz w:val="28"/>
        </w:rPr>
        <w:t xml:space="preserve"> </w:t>
      </w:r>
      <w:r>
        <w:rPr>
          <w:b/>
          <w:sz w:val="28"/>
        </w:rPr>
        <w:t>Creation of the Texas Scenic Byways Program</w:t>
      </w:r>
    </w:p>
    <w:p>
      <w:pPr>
        <w:pStyle w:val="Normal"/>
        <w:pBdr>
          <w:bottom w:val="single" w:sz="6" w:space="1" w:color="000000"/>
        </w:pBdr>
        <w:jc w:val="center"/>
        <w:rPr>
          <w:b/>
          <w:sz w:val="28"/>
        </w:rPr>
      </w:pPr>
      <w:r>
        <w:rPr>
          <w:b/>
          <w:sz w:val="28"/>
        </w:rPr>
      </w:r>
    </w:p>
    <w:p>
      <w:pPr>
        <w:pStyle w:val="Normal"/>
        <w:rPr/>
      </w:pPr>
      <w:r>
        <w:rPr/>
      </w:r>
    </w:p>
    <w:p>
      <w:pPr>
        <w:pStyle w:val="Normal"/>
        <w:jc w:val="both"/>
        <w:rPr/>
      </w:pPr>
      <w:r>
        <w:rPr/>
        <w:t>The Greater Houston Partnership supports legislation creating a Texas Scenic Byways Program.  Creation of such a program will allow the Texas Department of Transportation to designate, protect, and preserve scenic byways in the State of Texas.  The Greater Houston Partnership supports local, state, and federal funding associated with this legislation.</w:t>
      </w:r>
    </w:p>
    <w:p>
      <w:pPr>
        <w:pStyle w:val="Normal"/>
        <w:jc w:val="both"/>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bottom w:val="single" w:sz="6" w:space="0" w:color="000000"/>
            </w:tcBorders>
          </w:tcPr>
          <w:p>
            <w:pPr>
              <w:pStyle w:val="Normal"/>
              <w:snapToGrid w:val="false"/>
              <w:rPr/>
            </w:pPr>
            <w:r>
              <w:rPr/>
            </w:r>
          </w:p>
        </w:tc>
      </w:tr>
      <w:tr>
        <w:trPr/>
        <w:tc>
          <w:tcPr>
            <w:tcW w:w="4334" w:type="dxa"/>
            <w:tcBorders/>
          </w:tcPr>
          <w:p>
            <w:pPr>
              <w:pStyle w:val="Normal"/>
              <w:rPr/>
            </w:pPr>
            <w:r>
              <w:rPr/>
              <w:t>R. Bruce LaBoon, Chairman</w:t>
            </w:r>
          </w:p>
        </w:tc>
        <w:tc>
          <w:tcPr>
            <w:tcW w:w="648" w:type="dxa"/>
            <w:tcBorders/>
          </w:tcPr>
          <w:p>
            <w:pPr>
              <w:pStyle w:val="Normal"/>
              <w:snapToGrid w:val="false"/>
              <w:rPr/>
            </w:pPr>
            <w:r>
              <w:rPr/>
            </w:r>
          </w:p>
        </w:tc>
        <w:tc>
          <w:tcPr>
            <w:tcW w:w="4320" w:type="dxa"/>
            <w:tcBorders/>
          </w:tcPr>
          <w:p>
            <w:pPr>
              <w:pStyle w:val="Normal"/>
              <w:rPr/>
            </w:pPr>
            <w:r>
              <w:rPr/>
              <w:t>Jim C. Kollaer, President &amp; CEO</w:t>
            </w:r>
          </w:p>
        </w:tc>
      </w:tr>
    </w:tbl>
    <w:p>
      <w:pPr>
        <w:pStyle w:val="Normal"/>
        <w:rPr/>
      </w:pPr>
      <w:r>
        <w:rPr/>
      </w:r>
    </w:p>
    <w:p>
      <w:pPr>
        <w:pStyle w:val="Normal"/>
        <w:rPr/>
      </w:pPr>
      <w:r>
        <w:rPr/>
      </w:r>
    </w:p>
    <w:tbl>
      <w:tblPr>
        <w:tblW w:w="9302" w:type="dxa"/>
        <w:jc w:val="start"/>
        <w:tblInd w:w="0" w:type="dxa"/>
        <w:tblLayout w:type="fixed"/>
        <w:tblCellMar>
          <w:top w:w="0" w:type="dxa"/>
          <w:start w:w="108" w:type="dxa"/>
          <w:bottom w:w="0" w:type="dxa"/>
          <w:end w:w="108" w:type="dxa"/>
        </w:tblCellMar>
      </w:tblPr>
      <w:tblGrid>
        <w:gridCol w:w="4334"/>
        <w:gridCol w:w="648"/>
        <w:gridCol w:w="4320"/>
      </w:tblGrid>
      <w:tr>
        <w:trPr/>
        <w:tc>
          <w:tcPr>
            <w:tcW w:w="4334" w:type="dxa"/>
            <w:tcBorders>
              <w:bottom w:val="single" w:sz="6" w:space="0" w:color="000000"/>
            </w:tcBorders>
          </w:tcPr>
          <w:p>
            <w:pPr>
              <w:pStyle w:val="Normal"/>
              <w:snapToGrid w:val="false"/>
              <w:rPr/>
            </w:pPr>
            <w:r>
              <w:rPr/>
            </w:r>
          </w:p>
        </w:tc>
        <w:tc>
          <w:tcPr>
            <w:tcW w:w="648" w:type="dxa"/>
            <w:tcBorders/>
          </w:tcPr>
          <w:p>
            <w:pPr>
              <w:pStyle w:val="Normal"/>
              <w:snapToGrid w:val="false"/>
              <w:rPr/>
            </w:pPr>
            <w:r>
              <w:rPr/>
            </w:r>
          </w:p>
        </w:tc>
        <w:tc>
          <w:tcPr>
            <w:tcW w:w="4320" w:type="dxa"/>
            <w:tcBorders/>
          </w:tcPr>
          <w:p>
            <w:pPr>
              <w:pStyle w:val="Normal"/>
              <w:snapToGrid w:val="false"/>
              <w:rPr/>
            </w:pPr>
            <w:r>
              <w:rPr/>
            </w:r>
          </w:p>
        </w:tc>
      </w:tr>
      <w:tr>
        <w:trPr/>
        <w:tc>
          <w:tcPr>
            <w:tcW w:w="4334" w:type="dxa"/>
            <w:tcBorders/>
          </w:tcPr>
          <w:p>
            <w:pPr>
              <w:pStyle w:val="Normal"/>
              <w:rPr/>
            </w:pPr>
            <w:r>
              <w:rPr/>
              <w:t>Steven L. Miller, Secretary</w:t>
            </w:r>
          </w:p>
        </w:tc>
        <w:tc>
          <w:tcPr>
            <w:tcW w:w="648" w:type="dxa"/>
            <w:tcBorders/>
          </w:tcPr>
          <w:p>
            <w:pPr>
              <w:pStyle w:val="Normal"/>
              <w:snapToGrid w:val="false"/>
              <w:rPr/>
            </w:pPr>
            <w:r>
              <w:rPr/>
            </w:r>
          </w:p>
        </w:tc>
        <w:tc>
          <w:tcPr>
            <w:tcW w:w="4320" w:type="dxa"/>
            <w:tcBorders/>
          </w:tcPr>
          <w:p>
            <w:pPr>
              <w:pStyle w:val="Normal"/>
              <w:snapToGrid w:val="false"/>
              <w:rPr/>
            </w:pPr>
            <w:r>
              <w:rPr/>
            </w:r>
          </w:p>
        </w:tc>
      </w:tr>
    </w:tbl>
    <w:p>
      <w:pPr>
        <w:pStyle w:val="Normal"/>
        <w:rPr/>
      </w:pPr>
      <w:r>
        <w:rPr/>
      </w:r>
    </w:p>
    <w:p>
      <w:pPr>
        <w:sectPr>
          <w:type w:val="nextPage"/>
          <w:pgSz w:w="12240" w:h="15840"/>
          <w:pgMar w:left="1680" w:right="1680" w:gutter="0" w:header="0" w:top="1440" w:footer="0" w:bottom="1440"/>
          <w:pgNumType w:fmt="decimal"/>
          <w:formProt w:val="false"/>
          <w:textDirection w:val="lrTb"/>
          <w:docGrid w:type="default" w:linePitch="360" w:charSpace="0"/>
        </w:sectPr>
        <w:pStyle w:val="Normal"/>
        <w:rPr/>
      </w:pPr>
      <w:r>
        <w:rPr/>
      </w:r>
    </w:p>
    <w:p>
      <w:pPr>
        <w:pStyle w:val="Normal"/>
        <w:spacing w:before="480" w:after="240"/>
        <w:rPr/>
      </w:pPr>
      <w:r>
        <w:rPr/>
        <w:t>MEMORANDUM</w:t>
      </w:r>
    </w:p>
    <w:tbl>
      <w:tblPr>
        <w:tblW w:w="9096" w:type="dxa"/>
        <w:jc w:val="start"/>
        <w:tblInd w:w="0" w:type="dxa"/>
        <w:tblLayout w:type="fixed"/>
        <w:tblCellMar>
          <w:top w:w="0" w:type="dxa"/>
          <w:start w:w="108" w:type="dxa"/>
          <w:bottom w:w="0" w:type="dxa"/>
          <w:end w:w="108" w:type="dxa"/>
        </w:tblCellMar>
      </w:tblPr>
      <w:tblGrid>
        <w:gridCol w:w="1440"/>
        <w:gridCol w:w="7656"/>
      </w:tblGrid>
      <w:tr>
        <w:trPr/>
        <w:tc>
          <w:tcPr>
            <w:tcW w:w="1440" w:type="dxa"/>
            <w:tcBorders/>
          </w:tcPr>
          <w:p>
            <w:pPr>
              <w:pStyle w:val="Normal"/>
              <w:rPr>
                <w:b/>
              </w:rPr>
            </w:pPr>
            <w:r>
              <w:rPr>
                <w:b/>
              </w:rPr>
              <w:t>DATE:</w:t>
            </w:r>
          </w:p>
        </w:tc>
        <w:tc>
          <w:tcPr>
            <w:tcW w:w="7656" w:type="dxa"/>
            <w:tcBorders/>
          </w:tcPr>
          <w:p>
            <w:pPr>
              <w:pStyle w:val="Normal"/>
              <w:rPr/>
            </w:pPr>
            <w:bookmarkStart w:id="0" w:name="memodate"/>
            <w:bookmarkEnd w:id="0"/>
            <w:r>
              <w:rPr/>
              <w:t>April 3, 2001</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TO:</w:t>
            </w:r>
          </w:p>
        </w:tc>
        <w:tc>
          <w:tcPr>
            <w:tcW w:w="7656" w:type="dxa"/>
            <w:tcBorders/>
          </w:tcPr>
          <w:p>
            <w:pPr>
              <w:pStyle w:val="Normal"/>
              <w:rPr/>
            </w:pPr>
            <w:bookmarkStart w:id="1" w:name="Distribution"/>
            <w:bookmarkEnd w:id="1"/>
            <w:r>
              <w:rPr/>
              <w:t>Board of Directors</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FROM:</w:t>
            </w:r>
          </w:p>
        </w:tc>
        <w:tc>
          <w:tcPr>
            <w:tcW w:w="7656" w:type="dxa"/>
            <w:tcBorders/>
          </w:tcPr>
          <w:p>
            <w:pPr>
              <w:pStyle w:val="Normal"/>
              <w:rPr/>
            </w:pPr>
            <w:bookmarkStart w:id="2" w:name="Source"/>
            <w:bookmarkEnd w:id="2"/>
            <w:r>
              <w:rPr/>
              <w:t>Charles McMahen</w:t>
            </w:r>
          </w:p>
          <w:p>
            <w:pPr>
              <w:pStyle w:val="Normal"/>
              <w:rPr/>
            </w:pPr>
            <w:r>
              <w:rPr/>
              <w:t>Chairman, Quality of Life Advisory Committee</w:t>
            </w:r>
          </w:p>
        </w:tc>
      </w:tr>
      <w:tr>
        <w:trPr/>
        <w:tc>
          <w:tcPr>
            <w:tcW w:w="1440" w:type="dxa"/>
            <w:tcBorders/>
          </w:tcPr>
          <w:p>
            <w:pPr>
              <w:pStyle w:val="Normal"/>
              <w:snapToGrid w:val="false"/>
              <w:rPr/>
            </w:pPr>
            <w:r>
              <w:rPr/>
            </w:r>
          </w:p>
        </w:tc>
        <w:tc>
          <w:tcPr>
            <w:tcW w:w="7656" w:type="dxa"/>
            <w:tcBorders/>
          </w:tcPr>
          <w:p>
            <w:pPr>
              <w:pStyle w:val="Normal"/>
              <w:snapToGrid w:val="false"/>
              <w:rPr/>
            </w:pPr>
            <w:r>
              <w:rPr/>
            </w:r>
          </w:p>
        </w:tc>
      </w:tr>
      <w:tr>
        <w:trPr/>
        <w:tc>
          <w:tcPr>
            <w:tcW w:w="1440" w:type="dxa"/>
            <w:tcBorders/>
          </w:tcPr>
          <w:p>
            <w:pPr>
              <w:pStyle w:val="Normal"/>
              <w:rPr>
                <w:b/>
              </w:rPr>
            </w:pPr>
            <w:r>
              <w:rPr>
                <w:b/>
              </w:rPr>
              <w:t>SUBJECT:</w:t>
            </w:r>
          </w:p>
        </w:tc>
        <w:tc>
          <w:tcPr>
            <w:tcW w:w="7656" w:type="dxa"/>
            <w:tcBorders/>
          </w:tcPr>
          <w:p>
            <w:pPr>
              <w:pStyle w:val="Normal"/>
              <w:rPr/>
            </w:pPr>
            <w:bookmarkStart w:id="3" w:name="Subject"/>
            <w:bookmarkEnd w:id="3"/>
            <w:r>
              <w:rPr/>
              <w:t>Position on Texas Scenic Byways Act</w:t>
            </w:r>
          </w:p>
        </w:tc>
      </w:tr>
    </w:tbl>
    <w:p>
      <w:pPr>
        <w:pStyle w:val="Normal"/>
        <w:pBdr>
          <w:bottom w:val="single" w:sz="6" w:space="1" w:color="000000"/>
        </w:pBdr>
        <w:tabs>
          <w:tab w:val="clear" w:pos="720"/>
          <w:tab w:val="left" w:pos="1440" w:leader="none"/>
        </w:tabs>
        <w:jc w:val="both"/>
        <w:rPr/>
      </w:pPr>
      <w:r>
        <w:rPr/>
      </w:r>
    </w:p>
    <w:p>
      <w:pPr>
        <w:pStyle w:val="Normal"/>
        <w:pBdr>
          <w:bottom w:val="single" w:sz="6" w:space="1" w:color="000000"/>
        </w:pBdr>
        <w:tabs>
          <w:tab w:val="clear" w:pos="720"/>
          <w:tab w:val="left" w:pos="1440" w:leader="none"/>
        </w:tabs>
        <w:jc w:val="both"/>
        <w:rPr/>
      </w:pPr>
      <w:r>
        <w:rPr/>
      </w:r>
    </w:p>
    <w:p>
      <w:pPr>
        <w:pStyle w:val="Normal"/>
        <w:tabs>
          <w:tab w:val="clear" w:pos="720"/>
          <w:tab w:val="left" w:pos="1440" w:leader="none"/>
        </w:tabs>
        <w:jc w:val="both"/>
        <w:rPr/>
      </w:pPr>
      <w:r>
        <w:rPr/>
      </w:r>
    </w:p>
    <w:p>
      <w:pPr>
        <w:pStyle w:val="Heading1"/>
        <w:ind w:hanging="0" w:start="0"/>
        <w:rPr/>
      </w:pPr>
      <w:r>
        <w:rPr/>
        <w:t>RECOMMENDATION</w:t>
      </w:r>
    </w:p>
    <w:p>
      <w:pPr>
        <w:pStyle w:val="Normal"/>
        <w:rPr/>
      </w:pPr>
      <w:r>
        <w:rPr/>
      </w:r>
    </w:p>
    <w:p>
      <w:pPr>
        <w:pStyle w:val="Normal"/>
        <w:rPr/>
      </w:pPr>
      <w:r>
        <w:rPr/>
        <w:t xml:space="preserve">The Greater Houston Partnership supports legislation creating a Texas Scenic Byways Program.  Creation of such a program will allow the Texas Department of Transportation to designate, protect, and preserve scenic byways in the State of Texas.  The Greater Houston Partnership supports local, state, and federal funding associated with this legislation. </w:t>
      </w:r>
    </w:p>
    <w:p>
      <w:pPr>
        <w:pStyle w:val="Normal"/>
        <w:rPr/>
      </w:pPr>
      <w:r>
        <w:rPr/>
      </w:r>
    </w:p>
    <w:p>
      <w:pPr>
        <w:pStyle w:val="Heading1"/>
        <w:ind w:hanging="0" w:start="0"/>
        <w:rPr/>
      </w:pPr>
      <w:r>
        <w:rPr/>
        <w:t>BACKGROUND</w:t>
      </w:r>
    </w:p>
    <w:p>
      <w:pPr>
        <w:pStyle w:val="Normal"/>
        <w:tabs>
          <w:tab w:val="clear" w:pos="720"/>
          <w:tab w:val="left" w:pos="1440" w:leader="none"/>
        </w:tabs>
        <w:jc w:val="both"/>
        <w:rPr>
          <w:b/>
          <w:bCs/>
        </w:rPr>
      </w:pPr>
      <w:r>
        <w:rPr>
          <w:b/>
          <w:bCs/>
        </w:rPr>
      </w:r>
    </w:p>
    <w:p>
      <w:pPr>
        <w:pStyle w:val="Normal"/>
        <w:tabs>
          <w:tab w:val="clear" w:pos="720"/>
          <w:tab w:val="left" w:pos="1440" w:leader="none"/>
        </w:tabs>
        <w:jc w:val="both"/>
        <w:rPr/>
      </w:pPr>
      <w:r>
        <w:rPr/>
        <w:t>As Texas explores possible outside funding sources to augment its immense Transportation budget, it should consider looking to the federal government and the potential funding that has been left untapped since 1998 when the Transportation Equity Act for the 21</w:t>
      </w:r>
      <w:r>
        <w:rPr>
          <w:vertAlign w:val="superscript"/>
        </w:rPr>
        <w:t>st</w:t>
      </w:r>
      <w:r>
        <w:rPr/>
        <w:t xml:space="preserve"> Century (TEA-21) made it beneficial for Donor States, of which Texas is one, to become participants.  Currently, only Texas and Mississippi have not sought membership in the program.  </w:t>
      </w:r>
    </w:p>
    <w:p>
      <w:pPr>
        <w:pStyle w:val="BodyText2"/>
        <w:rPr/>
      </w:pPr>
      <w:r>
        <w:rPr/>
      </w:r>
    </w:p>
    <w:p>
      <w:pPr>
        <w:pStyle w:val="BodyText2"/>
        <w:rPr/>
      </w:pPr>
      <w:r>
        <w:rPr/>
        <w:t xml:space="preserve">Important legislation has been introduced that will protect and enhance the scenic beauty of our state – the Texas Scenic Act of 2001 </w:t>
      </w:r>
      <w:r>
        <w:rPr>
          <w:b/>
          <w:bCs/>
        </w:rPr>
        <w:t>(SB 1128/HB 2512)</w:t>
      </w:r>
      <w:r>
        <w:rPr/>
        <w:t xml:space="preserve"> and the Texas Scenic Byways Act </w:t>
      </w:r>
      <w:r>
        <w:rPr>
          <w:b/>
          <w:bCs/>
        </w:rPr>
        <w:t>(SB 1129/HB 1825)</w:t>
      </w:r>
      <w:r>
        <w:rPr/>
        <w:t xml:space="preserve">.  </w:t>
      </w:r>
    </w:p>
    <w:p>
      <w:pPr>
        <w:pStyle w:val="Normal"/>
        <w:tabs>
          <w:tab w:val="clear" w:pos="720"/>
          <w:tab w:val="left" w:pos="1440" w:leader="none"/>
        </w:tabs>
        <w:jc w:val="both"/>
        <w:rPr/>
      </w:pPr>
      <w:r>
        <w:rPr/>
      </w:r>
    </w:p>
    <w:p>
      <w:pPr>
        <w:pStyle w:val="BodyText"/>
        <w:rPr/>
      </w:pPr>
      <w:r>
        <w:rPr/>
        <w:t xml:space="preserve">The Act stipulates that roads that are either aesthetically, culturally, or historically significant are eligible to apply for federal funding (See attached bill). </w:t>
      </w:r>
    </w:p>
    <w:p>
      <w:pPr>
        <w:pStyle w:val="Normal"/>
        <w:tabs>
          <w:tab w:val="clear" w:pos="720"/>
          <w:tab w:val="left" w:pos="1440" w:leader="none"/>
        </w:tabs>
        <w:jc w:val="both"/>
        <w:rPr>
          <w:u w:val="single"/>
        </w:rPr>
      </w:pPr>
      <w:r>
        <w:rPr>
          <w:u w:val="single"/>
        </w:rPr>
      </w:r>
    </w:p>
    <w:p>
      <w:pPr>
        <w:pStyle w:val="Normal"/>
        <w:tabs>
          <w:tab w:val="clear" w:pos="720"/>
          <w:tab w:val="left" w:pos="1440" w:leader="none"/>
        </w:tabs>
        <w:jc w:val="both"/>
        <w:rPr/>
      </w:pPr>
      <w:r>
        <w:rPr/>
        <w:t xml:space="preserve">The Act requires that no new billboards be constructed on Scenic Byways.  </w:t>
      </w:r>
    </w:p>
    <w:p>
      <w:pPr>
        <w:pStyle w:val="Normal"/>
        <w:tabs>
          <w:tab w:val="clear" w:pos="720"/>
          <w:tab w:val="left" w:pos="1440" w:leader="none"/>
        </w:tabs>
        <w:jc w:val="both"/>
        <w:rPr>
          <w:u w:val="single"/>
        </w:rPr>
      </w:pPr>
      <w:r>
        <w:rPr>
          <w:u w:val="single"/>
        </w:rPr>
      </w:r>
    </w:p>
    <w:p>
      <w:pPr>
        <w:pStyle w:val="Heading1"/>
        <w:ind w:hanging="0" w:start="0"/>
        <w:rPr/>
      </w:pPr>
      <w:r>
        <w:rPr/>
        <w:t>IMPLEMENTATION</w:t>
      </w:r>
    </w:p>
    <w:p>
      <w:pPr>
        <w:pStyle w:val="Normal"/>
        <w:tabs>
          <w:tab w:val="clear" w:pos="720"/>
          <w:tab w:val="left" w:pos="1440" w:leader="none"/>
        </w:tabs>
        <w:jc w:val="both"/>
        <w:rPr/>
      </w:pPr>
      <w:r>
        <w:rPr/>
      </w:r>
    </w:p>
    <w:p>
      <w:pPr>
        <w:pStyle w:val="Normal"/>
        <w:tabs>
          <w:tab w:val="clear" w:pos="720"/>
          <w:tab w:val="left" w:pos="1440" w:leader="none"/>
        </w:tabs>
        <w:jc w:val="both"/>
        <w:rPr/>
      </w:pPr>
      <w:r>
        <w:rPr/>
        <w:t>Communicate this position to members of the area legislative delegation and appropriate legislative committee members and leaders.  Include this position in summaries of the Partnership’s legislative program for the 77</w:t>
      </w:r>
      <w:r>
        <w:rPr>
          <w:vertAlign w:val="superscript"/>
        </w:rPr>
        <w:t>th</w:t>
      </w:r>
      <w:r>
        <w:rPr/>
        <w:t xml:space="preserve"> Legislative Session.</w:t>
      </w:r>
    </w:p>
    <w:p>
      <w:pPr>
        <w:pStyle w:val="Normal"/>
        <w:tabs>
          <w:tab w:val="clear" w:pos="720"/>
          <w:tab w:val="left" w:pos="1440" w:leader="none"/>
        </w:tabs>
        <w:jc w:val="both"/>
        <w:rPr/>
      </w:pPr>
      <w:r>
        <w:rPr/>
      </w:r>
    </w:p>
    <w:p>
      <w:pPr>
        <w:pStyle w:val="Normal"/>
        <w:tabs>
          <w:tab w:val="clear" w:pos="720"/>
          <w:tab w:val="left" w:pos="1440" w:leader="none"/>
        </w:tabs>
        <w:jc w:val="both"/>
        <w:rPr/>
      </w:pPr>
      <w:r>
        <w:rPr/>
        <w:t xml:space="preserve">Please take a moment to write your Senator and the Senators on the Intergovernmental Relations Committee </w:t>
      </w:r>
      <w:r>
        <w:rPr>
          <w:b/>
          <w:bCs/>
        </w:rPr>
        <w:t>(SB1128)</w:t>
      </w:r>
      <w:r>
        <w:rPr/>
        <w:t xml:space="preserve"> and State Affairs Committee </w:t>
      </w:r>
      <w:r>
        <w:rPr>
          <w:b/>
          <w:bCs/>
        </w:rPr>
        <w:t>(SB1129)</w:t>
      </w:r>
      <w:r>
        <w:rPr/>
        <w:t xml:space="preserve"> and your Representative and the members of the House Transportation Committee </w:t>
      </w:r>
      <w:r>
        <w:rPr>
          <w:b/>
          <w:bCs/>
        </w:rPr>
        <w:t xml:space="preserve">(HB2512 </w:t>
      </w:r>
      <w:r>
        <w:rPr/>
        <w:t xml:space="preserve">and </w:t>
      </w:r>
      <w:r>
        <w:rPr>
          <w:b/>
          <w:bCs/>
        </w:rPr>
        <w:t>HB1825)</w:t>
      </w:r>
      <w:r>
        <w:rPr/>
        <w:t xml:space="preserve"> endorsing the proposed legislation and requesting the Senator’s or Representative’s support of the bill.</w:t>
      </w:r>
    </w:p>
    <w:p>
      <w:pPr>
        <w:pStyle w:val="Normal"/>
        <w:tabs>
          <w:tab w:val="clear" w:pos="720"/>
          <w:tab w:val="left" w:pos="1440" w:leader="none"/>
        </w:tabs>
        <w:jc w:val="both"/>
        <w:rPr/>
      </w:pPr>
      <w:r>
        <w:rPr/>
      </w:r>
    </w:p>
    <w:p>
      <w:pPr>
        <w:pStyle w:val="Normal"/>
        <w:tabs>
          <w:tab w:val="clear" w:pos="720"/>
          <w:tab w:val="left" w:pos="1440" w:leader="none"/>
        </w:tabs>
        <w:jc w:val="both"/>
        <w:rPr/>
      </w:pPr>
      <w:r>
        <w:rPr/>
        <w:t>Continue to review legislation on these issues during the legislative session.</w:t>
      </w:r>
    </w:p>
    <w:p>
      <w:pPr>
        <w:pStyle w:val="Normal"/>
        <w:tabs>
          <w:tab w:val="clear" w:pos="720"/>
          <w:tab w:val="left" w:pos="1440" w:leader="none"/>
        </w:tabs>
        <w:jc w:val="both"/>
        <w:rPr/>
      </w:pPr>
      <w:r>
        <w:rPr/>
      </w:r>
    </w:p>
    <w:p>
      <w:pPr>
        <w:pStyle w:val="Heading1"/>
        <w:ind w:hanging="0" w:start="0"/>
        <w:rPr/>
      </w:pPr>
      <w:r>
        <w:rPr/>
        <w:t>RESOURCES REQUIRED</w:t>
      </w:r>
    </w:p>
    <w:p>
      <w:pPr>
        <w:pStyle w:val="Normal"/>
        <w:tabs>
          <w:tab w:val="clear" w:pos="720"/>
          <w:tab w:val="left" w:pos="1440" w:leader="none"/>
        </w:tabs>
        <w:jc w:val="both"/>
        <w:rPr>
          <w:b/>
          <w:bCs/>
        </w:rPr>
      </w:pPr>
      <w:r>
        <w:rPr>
          <w:b/>
          <w:bCs/>
        </w:rPr>
      </w:r>
    </w:p>
    <w:p>
      <w:pPr>
        <w:pStyle w:val="BodyText"/>
        <w:rPr/>
      </w:pPr>
      <w:r>
        <w:rPr/>
        <w:t>This recommendation can be implemented with available staff and within the current operating budget.</w:t>
      </w:r>
    </w:p>
    <w:p>
      <w:pPr>
        <w:pStyle w:val="Normal"/>
        <w:tabs>
          <w:tab w:val="clear" w:pos="720"/>
          <w:tab w:val="left" w:pos="1440" w:leader="none"/>
        </w:tabs>
        <w:jc w:val="both"/>
        <w:rPr/>
      </w:pPr>
      <w:r>
        <w:rPr/>
      </w:r>
    </w:p>
    <w:p>
      <w:pPr>
        <w:pStyle w:val="Normal"/>
        <w:tabs>
          <w:tab w:val="clear" w:pos="720"/>
          <w:tab w:val="left" w:pos="1440" w:leader="none"/>
        </w:tabs>
        <w:jc w:val="both"/>
        <w:rPr/>
      </w:pPr>
      <w:r>
        <w:rPr/>
      </w:r>
    </w:p>
    <w:tbl>
      <w:tblPr>
        <w:tblW w:w="9086" w:type="dxa"/>
        <w:jc w:val="start"/>
        <w:tblInd w:w="0" w:type="dxa"/>
        <w:tblLayout w:type="fixed"/>
        <w:tblCellMar>
          <w:top w:w="0" w:type="dxa"/>
          <w:start w:w="108" w:type="dxa"/>
          <w:bottom w:w="0" w:type="dxa"/>
          <w:end w:w="108" w:type="dxa"/>
        </w:tblCellMar>
      </w:tblPr>
      <w:tblGrid>
        <w:gridCol w:w="4543"/>
        <w:gridCol w:w="4543"/>
      </w:tblGrid>
      <w:tr>
        <w:trPr>
          <w:trHeight w:val="1665" w:hRule="atLeast"/>
        </w:trPr>
        <w:tc>
          <w:tcPr>
            <w:tcW w:w="4543" w:type="dxa"/>
            <w:tcBorders/>
          </w:tcPr>
          <w:p>
            <w:pPr>
              <w:pStyle w:val="Normal"/>
              <w:tabs>
                <w:tab w:val="clear" w:pos="720"/>
                <w:tab w:val="left" w:pos="1440" w:leader="none"/>
              </w:tabs>
              <w:jc w:val="both"/>
              <w:rPr/>
            </w:pPr>
            <w:r>
              <w:rPr/>
              <w:t>To write State Representatives:</w:t>
            </w:r>
          </w:p>
          <w:p>
            <w:pPr>
              <w:pStyle w:val="Normal"/>
              <w:tabs>
                <w:tab w:val="clear" w:pos="720"/>
                <w:tab w:val="left" w:pos="1440" w:leader="none"/>
              </w:tabs>
              <w:jc w:val="both"/>
              <w:rPr/>
            </w:pPr>
            <w:r>
              <w:rPr/>
              <w:t>Box 2910</w:t>
            </w:r>
          </w:p>
          <w:p>
            <w:pPr>
              <w:pStyle w:val="Normal"/>
              <w:tabs>
                <w:tab w:val="clear" w:pos="720"/>
                <w:tab w:val="left" w:pos="1440" w:leader="none"/>
              </w:tabs>
              <w:jc w:val="both"/>
              <w:rPr/>
            </w:pPr>
            <w:r>
              <w:rPr/>
              <w:t>Austin, Texas 78768-2910</w:t>
            </w:r>
          </w:p>
          <w:p>
            <w:pPr>
              <w:pStyle w:val="Normal"/>
              <w:tabs>
                <w:tab w:val="clear" w:pos="720"/>
                <w:tab w:val="left" w:pos="1440" w:leader="none"/>
              </w:tabs>
              <w:jc w:val="both"/>
              <w:rPr/>
            </w:pPr>
            <w:r>
              <w:rPr/>
              <w:t>Fax: 512/463-5896</w:t>
            </w:r>
          </w:p>
          <w:p>
            <w:pPr>
              <w:pStyle w:val="Normal"/>
              <w:tabs>
                <w:tab w:val="clear" w:pos="720"/>
                <w:tab w:val="left" w:pos="1440" w:leader="none"/>
              </w:tabs>
              <w:jc w:val="both"/>
              <w:rPr/>
            </w:pPr>
            <w:r>
              <w:rPr/>
              <w:t xml:space="preserve">Email: </w:t>
            </w:r>
            <w:hyperlink r:id="rId2">
              <w:r>
                <w:rPr>
                  <w:rStyle w:val="Hyperlink"/>
                </w:rPr>
                <w:t>first.last@house.state.tx.us</w:t>
              </w:r>
            </w:hyperlink>
          </w:p>
        </w:tc>
        <w:tc>
          <w:tcPr>
            <w:tcW w:w="4543" w:type="dxa"/>
            <w:tcBorders/>
          </w:tcPr>
          <w:p>
            <w:pPr>
              <w:pStyle w:val="Normal"/>
              <w:tabs>
                <w:tab w:val="clear" w:pos="720"/>
                <w:tab w:val="left" w:pos="1440" w:leader="none"/>
              </w:tabs>
              <w:jc w:val="both"/>
              <w:rPr/>
            </w:pPr>
            <w:r>
              <w:rPr/>
              <w:t xml:space="preserve">To write State Senators: </w:t>
            </w:r>
          </w:p>
          <w:p>
            <w:pPr>
              <w:pStyle w:val="Normal"/>
              <w:tabs>
                <w:tab w:val="clear" w:pos="720"/>
                <w:tab w:val="left" w:pos="1440" w:leader="none"/>
              </w:tabs>
              <w:jc w:val="both"/>
              <w:rPr/>
            </w:pPr>
            <w:r>
              <w:rPr/>
              <w:t>Box 12068</w:t>
            </w:r>
          </w:p>
          <w:p>
            <w:pPr>
              <w:pStyle w:val="Normal"/>
              <w:tabs>
                <w:tab w:val="clear" w:pos="720"/>
                <w:tab w:val="left" w:pos="1440" w:leader="none"/>
              </w:tabs>
              <w:jc w:val="both"/>
              <w:rPr/>
            </w:pPr>
            <w:r>
              <w:rPr/>
              <w:t>Austin, Texas 78711-2068</w:t>
            </w:r>
          </w:p>
          <w:p>
            <w:pPr>
              <w:pStyle w:val="Normal"/>
              <w:tabs>
                <w:tab w:val="clear" w:pos="720"/>
                <w:tab w:val="left" w:pos="1440" w:leader="none"/>
              </w:tabs>
              <w:jc w:val="both"/>
              <w:rPr/>
            </w:pPr>
            <w:r>
              <w:rPr/>
              <w:t>Fax: 512/463-0326</w:t>
            </w:r>
          </w:p>
          <w:p>
            <w:pPr>
              <w:pStyle w:val="Normal"/>
              <w:tabs>
                <w:tab w:val="clear" w:pos="720"/>
                <w:tab w:val="left" w:pos="1440" w:leader="none"/>
              </w:tabs>
              <w:jc w:val="both"/>
              <w:rPr/>
            </w:pPr>
            <w:r>
              <w:rPr/>
              <w:t xml:space="preserve">Email: </w:t>
            </w:r>
            <w:hyperlink r:id="rId3">
              <w:r>
                <w:rPr>
                  <w:rStyle w:val="Hyperlink"/>
                </w:rPr>
                <w:t>first.last@senate.state.tx.us</w:t>
              </w:r>
            </w:hyperlink>
          </w:p>
        </w:tc>
      </w:tr>
    </w:tbl>
    <w:p>
      <w:pPr>
        <w:pStyle w:val="Normal"/>
        <w:tabs>
          <w:tab w:val="clear" w:pos="720"/>
          <w:tab w:val="left" w:pos="1440" w:leader="none"/>
        </w:tabs>
        <w:jc w:val="both"/>
        <w:rPr/>
      </w:pPr>
      <w:r>
        <w:rPr/>
      </w:r>
    </w:p>
    <w:p>
      <w:pPr>
        <w:pStyle w:val="Normal"/>
        <w:spacing w:before="480" w:after="240"/>
        <w:rPr/>
      </w:pPr>
      <w:r>
        <w:rPr/>
      </w:r>
    </w:p>
    <w:sectPr>
      <w:headerReference w:type="default" r:id="rId4"/>
      <w:headerReference w:type="first" r:id="rId5"/>
      <w:footerReference w:type="default" r:id="rId6"/>
      <w:footerReference w:type="first" r:id="rId7"/>
      <w:type w:val="nextPage"/>
      <w:pgSz w:w="12240" w:h="15840"/>
      <w:pgMar w:left="1685" w:right="1685" w:gutter="0" w:header="720" w:top="1008"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9"/>
      </w:rPr>
      <w:t xml:space="preserve">1200 Smith, Suite 700   Houston, Texas 77002-4400   </w:t>
    </w:r>
    <w:r>
      <w:rPr>
        <w:rFonts w:eastAsia="Symbol" w:cs="Symbol" w:ascii="Symbol" w:hAnsi="Symbol"/>
        <w:position w:val="2"/>
        <w:sz w:val="12"/>
      </w:rPr>
      <w:sym w:font="Symbol" w:char="f0b7"/>
    </w:r>
    <w:r>
      <w:rPr>
        <w:sz w:val="19"/>
      </w:rPr>
      <w:t xml:space="preserve">   713-844-3600   Fax 713-844-0200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3605530" cy="472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62" r="-8" b="-62"/>
                  <a:stretch>
                    <a:fillRect/>
                  </a:stretch>
                </pic:blipFill>
                <pic:spPr bwMode="auto">
                  <a:xfrm>
                    <a:off x="0" y="0"/>
                    <a:ext cx="3605530" cy="47244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jc w:val="both"/>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s>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rst.last@house.state.tx.us" TargetMode="External"/><Relationship Id="rId3" Type="http://schemas.openxmlformats.org/officeDocument/2006/relationships/hyperlink" Target="mailto:first.last@senate.state.tx.u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2001 Resolution.dot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2001-03-26T14:40:00Z</dcterms:created>
  <dc:creator>Christina A. Foley</dc:creator>
  <dc:description/>
  <dc:language>en-CA</dc:language>
  <cp:lastModifiedBy>Arlene McCarty</cp:lastModifiedBy>
  <cp:lastPrinted>2001-03-26T11:09:00Z</cp:lastPrinted>
  <dcterms:modified xsi:type="dcterms:W3CDTF">2001-03-26T14:40:00Z</dcterms:modified>
  <cp:revision>2</cp:revision>
  <dc:subject/>
  <dc:title>Greater Houston Partnership							February 4, 1997</dc:title>
</cp:coreProperties>
</file>