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2"/>
        </w:rPr>
      </w:pPr>
      <w:r>
        <w:rPr>
          <w:rFonts w:cs="Arial" w:ascii="Arial" w:hAnsi="Arial"/>
          <w:sz w:val="22"/>
        </w:rPr>
      </w:r>
    </w:p>
    <w:p>
      <w:pPr>
        <w:pStyle w:val="Heading1"/>
        <w:ind w:hanging="0" w:start="0"/>
        <w:rPr/>
      </w:pPr>
      <w:r>
        <w:rPr/>
        <w:t>SATISFYING THE GOVERNMENT’S FOUR GUIDING PRINCIPLES</w:t>
      </w:r>
    </w:p>
    <w:p>
      <w:pPr>
        <w:pStyle w:val="Heading1"/>
        <w:ind w:hanging="0" w:start="0"/>
        <w:rPr/>
      </w:pPr>
      <w:r>
        <w:rPr/>
        <w:t>REGARDING THE OPENING OF THE ONTARIO ELECTRICITY MARKET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numPr>
          <w:ilvl w:val="0"/>
          <w:numId w:val="5"/>
        </w:numPr>
        <w:jc w:val="both"/>
        <w:rPr>
          <w:rFonts w:ascii="Arial" w:hAnsi="Arial" w:cs="Arial"/>
          <w:sz w:val="22"/>
        </w:rPr>
      </w:pPr>
      <w:r>
        <w:rPr>
          <w:rFonts w:cs="Arial" w:ascii="Arial" w:hAnsi="Arial"/>
          <w:sz w:val="22"/>
        </w:rPr>
        <w:t>The Ontario Government has outlined four principles that will guide the opening of the Province’s electricity market.</w:t>
      </w:r>
    </w:p>
    <w:p>
      <w:pPr>
        <w:pStyle w:val="Normal"/>
        <w:jc w:val="both"/>
        <w:rPr>
          <w:rFonts w:ascii="Arial" w:hAnsi="Arial" w:cs="Arial"/>
          <w:sz w:val="22"/>
        </w:rPr>
      </w:pPr>
      <w:r>
        <w:rPr>
          <w:rFonts w:cs="Arial" w:ascii="Arial" w:hAnsi="Arial"/>
          <w:sz w:val="22"/>
        </w:rPr>
      </w:r>
    </w:p>
    <w:p>
      <w:pPr>
        <w:pStyle w:val="Normal"/>
        <w:numPr>
          <w:ilvl w:val="0"/>
          <w:numId w:val="5"/>
        </w:numPr>
        <w:jc w:val="both"/>
        <w:rPr>
          <w:rFonts w:ascii="Arial" w:hAnsi="Arial" w:cs="Arial"/>
          <w:sz w:val="22"/>
        </w:rPr>
      </w:pPr>
      <w:r>
        <w:rPr>
          <w:rFonts w:cs="Arial" w:ascii="Arial" w:hAnsi="Arial"/>
          <w:sz w:val="22"/>
        </w:rPr>
        <w:t>Those principles are as follows:</w:t>
      </w:r>
    </w:p>
    <w:p>
      <w:pPr>
        <w:pStyle w:val="Normal"/>
        <w:jc w:val="both"/>
        <w:rPr>
          <w:rFonts w:ascii="Arial" w:hAnsi="Arial" w:cs="Arial"/>
          <w:sz w:val="22"/>
        </w:rPr>
      </w:pPr>
      <w:r>
        <w:rPr>
          <w:rFonts w:cs="Arial" w:ascii="Arial" w:hAnsi="Arial"/>
          <w:sz w:val="22"/>
        </w:rPr>
      </w:r>
    </w:p>
    <w:p>
      <w:pPr>
        <w:pStyle w:val="Normal"/>
        <w:numPr>
          <w:ilvl w:val="1"/>
          <w:numId w:val="5"/>
        </w:numPr>
        <w:tabs>
          <w:tab w:val="left" w:pos="720" w:leader="none"/>
        </w:tabs>
        <w:ind w:hanging="0" w:start="720" w:end="0"/>
        <w:jc w:val="both"/>
        <w:rPr>
          <w:rFonts w:ascii="Arial" w:hAnsi="Arial" w:cs="Arial"/>
          <w:i/>
          <w:i/>
          <w:iCs/>
          <w:sz w:val="22"/>
        </w:rPr>
      </w:pPr>
      <w:r>
        <w:rPr>
          <w:rFonts w:cs="Arial" w:ascii="Arial" w:hAnsi="Arial"/>
          <w:i/>
          <w:iCs/>
          <w:sz w:val="22"/>
        </w:rPr>
        <w:t>Protecting consumers and offering choice;</w:t>
      </w:r>
    </w:p>
    <w:p>
      <w:pPr>
        <w:pStyle w:val="Normal"/>
        <w:ind w:start="360" w:end="0"/>
        <w:jc w:val="both"/>
        <w:rPr>
          <w:rFonts w:ascii="Arial" w:hAnsi="Arial" w:cs="Arial"/>
          <w:i/>
          <w:i/>
          <w:iCs/>
          <w:sz w:val="22"/>
        </w:rPr>
      </w:pPr>
      <w:r>
        <w:rPr>
          <w:rFonts w:cs="Arial" w:ascii="Arial" w:hAnsi="Arial"/>
          <w:i/>
          <w:iCs/>
          <w:sz w:val="22"/>
        </w:rPr>
      </w:r>
    </w:p>
    <w:p>
      <w:pPr>
        <w:pStyle w:val="Normal"/>
        <w:numPr>
          <w:ilvl w:val="1"/>
          <w:numId w:val="5"/>
        </w:numPr>
        <w:ind w:hanging="720" w:start="1440" w:end="0"/>
        <w:jc w:val="both"/>
        <w:rPr>
          <w:rFonts w:ascii="Arial" w:hAnsi="Arial" w:cs="Arial"/>
          <w:i/>
          <w:i/>
          <w:iCs/>
          <w:sz w:val="22"/>
        </w:rPr>
      </w:pPr>
      <w:r>
        <w:rPr>
          <w:rFonts w:cs="Arial" w:ascii="Arial" w:hAnsi="Arial"/>
          <w:i/>
          <w:iCs/>
          <w:sz w:val="22"/>
        </w:rPr>
        <w:t>Creating a strong business climate with a reliable supply of electricity;</w:t>
      </w:r>
    </w:p>
    <w:p>
      <w:pPr>
        <w:pStyle w:val="Normal"/>
        <w:tabs>
          <w:tab w:val="clear" w:pos="720"/>
          <w:tab w:val="left" w:pos="1440" w:leader="none"/>
        </w:tabs>
        <w:ind w:hanging="720" w:start="1440" w:end="0"/>
        <w:jc w:val="both"/>
        <w:rPr>
          <w:rFonts w:ascii="Arial" w:hAnsi="Arial" w:cs="Arial"/>
          <w:i/>
          <w:i/>
          <w:iCs/>
          <w:sz w:val="22"/>
        </w:rPr>
      </w:pPr>
      <w:r>
        <w:rPr>
          <w:rFonts w:cs="Arial" w:ascii="Arial" w:hAnsi="Arial"/>
          <w:i/>
          <w:iCs/>
          <w:sz w:val="22"/>
        </w:rPr>
      </w:r>
    </w:p>
    <w:p>
      <w:pPr>
        <w:pStyle w:val="Normal"/>
        <w:numPr>
          <w:ilvl w:val="1"/>
          <w:numId w:val="5"/>
        </w:numPr>
        <w:ind w:hanging="720" w:start="1440" w:end="0"/>
        <w:jc w:val="both"/>
        <w:rPr>
          <w:rFonts w:ascii="Arial" w:hAnsi="Arial" w:cs="Arial"/>
          <w:i/>
          <w:i/>
          <w:iCs/>
          <w:sz w:val="22"/>
        </w:rPr>
      </w:pPr>
      <w:r>
        <w:rPr>
          <w:rFonts w:cs="Arial" w:ascii="Arial" w:hAnsi="Arial"/>
          <w:i/>
          <w:iCs/>
          <w:sz w:val="22"/>
        </w:rPr>
        <w:t>Protecting the environment; and</w:t>
      </w:r>
    </w:p>
    <w:p>
      <w:pPr>
        <w:pStyle w:val="Normal"/>
        <w:tabs>
          <w:tab w:val="clear" w:pos="720"/>
          <w:tab w:val="left" w:pos="1440" w:leader="none"/>
        </w:tabs>
        <w:ind w:hanging="720" w:start="1440" w:end="0"/>
        <w:jc w:val="both"/>
        <w:rPr>
          <w:rFonts w:ascii="Arial" w:hAnsi="Arial" w:cs="Arial"/>
          <w:i/>
          <w:i/>
          <w:iCs/>
          <w:sz w:val="22"/>
        </w:rPr>
      </w:pPr>
      <w:r>
        <w:rPr>
          <w:rFonts w:cs="Arial" w:ascii="Arial" w:hAnsi="Arial"/>
          <w:i/>
          <w:iCs/>
          <w:sz w:val="22"/>
        </w:rPr>
      </w:r>
    </w:p>
    <w:p>
      <w:pPr>
        <w:pStyle w:val="Normal"/>
        <w:numPr>
          <w:ilvl w:val="1"/>
          <w:numId w:val="5"/>
        </w:numPr>
        <w:ind w:hanging="720" w:start="1440" w:end="0"/>
        <w:jc w:val="both"/>
        <w:rPr>
          <w:rFonts w:ascii="Arial" w:hAnsi="Arial" w:cs="Arial"/>
          <w:sz w:val="22"/>
        </w:rPr>
      </w:pPr>
      <w:r>
        <w:rPr>
          <w:rFonts w:cs="Arial" w:ascii="Arial" w:hAnsi="Arial"/>
          <w:i/>
          <w:iCs/>
          <w:sz w:val="22"/>
        </w:rPr>
        <w:t>Encouraging new ways of doing business and supporting the search for alternative sources of power.</w:t>
      </w:r>
    </w:p>
    <w:p>
      <w:pPr>
        <w:pStyle w:val="Normal"/>
        <w:jc w:val="both"/>
        <w:rPr>
          <w:rFonts w:ascii="Arial" w:hAnsi="Arial" w:cs="Arial"/>
          <w:sz w:val="22"/>
        </w:rPr>
      </w:pPr>
      <w:r>
        <w:rPr>
          <w:rFonts w:cs="Arial" w:ascii="Arial" w:hAnsi="Arial"/>
          <w:sz w:val="22"/>
        </w:rPr>
      </w:r>
    </w:p>
    <w:p>
      <w:pPr>
        <w:pStyle w:val="Normal"/>
        <w:numPr>
          <w:ilvl w:val="2"/>
          <w:numId w:val="5"/>
        </w:numPr>
        <w:tabs>
          <w:tab w:val="left" w:pos="720" w:leader="none"/>
        </w:tabs>
        <w:ind w:hanging="360" w:start="720" w:end="0"/>
        <w:jc w:val="both"/>
        <w:rPr>
          <w:rFonts w:ascii="Arial" w:hAnsi="Arial" w:cs="Arial"/>
          <w:sz w:val="22"/>
        </w:rPr>
      </w:pPr>
      <w:r>
        <w:rPr>
          <w:rFonts w:cs="Arial" w:ascii="Arial" w:hAnsi="Arial"/>
          <w:sz w:val="22"/>
        </w:rPr>
        <w:t>Enron Canada is confident that these conditions have already been or will be satisfied by November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2"/>
        <w:ind w:hanging="0" w:start="0"/>
        <w:rPr/>
      </w:pPr>
      <w:r>
        <w:rPr/>
        <w:t>Guiding Principle 1:  Protecting Consumers and Offering Choice</w:t>
      </w:r>
    </w:p>
    <w:p>
      <w:pPr>
        <w:pStyle w:val="Normal"/>
        <w:jc w:val="both"/>
        <w:rPr>
          <w:rFonts w:ascii="Arial" w:hAnsi="Arial" w:cs="Arial"/>
          <w:sz w:val="22"/>
        </w:rPr>
      </w:pPr>
      <w:r>
        <w:rPr>
          <w:rFonts w:cs="Arial" w:ascii="Arial" w:hAnsi="Arial"/>
          <w:sz w:val="22"/>
        </w:rPr>
      </w:r>
    </w:p>
    <w:p>
      <w:pPr>
        <w:pStyle w:val="Normal"/>
        <w:numPr>
          <w:ilvl w:val="0"/>
          <w:numId w:val="10"/>
        </w:numPr>
        <w:jc w:val="both"/>
        <w:rPr>
          <w:rFonts w:ascii="Arial" w:hAnsi="Arial" w:cs="Arial"/>
          <w:sz w:val="22"/>
        </w:rPr>
      </w:pPr>
      <w:r>
        <w:rPr>
          <w:rFonts w:cs="Arial" w:ascii="Arial" w:hAnsi="Arial"/>
          <w:sz w:val="22"/>
        </w:rPr>
        <w:t xml:space="preserve">Ontario electricity consumers are protected </w:t>
      </w:r>
      <w:r>
        <w:rPr>
          <w:rFonts w:cs="Arial" w:ascii="Arial" w:hAnsi="Arial"/>
          <w:sz w:val="22"/>
          <w:u w:val="single"/>
        </w:rPr>
        <w:t>now</w:t>
      </w:r>
      <w:r>
        <w:rPr>
          <w:rFonts w:cs="Arial" w:ascii="Arial" w:hAnsi="Arial"/>
          <w:sz w:val="22"/>
        </w:rPr>
        <w:t>, in advance of market opening.</w:t>
      </w:r>
    </w:p>
    <w:p>
      <w:pPr>
        <w:pStyle w:val="Normal"/>
        <w:ind w:start="360" w:end="0"/>
        <w:jc w:val="both"/>
        <w:rPr>
          <w:rFonts w:ascii="Arial" w:hAnsi="Arial" w:cs="Arial"/>
          <w:sz w:val="22"/>
        </w:rPr>
      </w:pPr>
      <w:r>
        <w:rPr>
          <w:rFonts w:cs="Arial" w:ascii="Arial" w:hAnsi="Arial"/>
          <w:sz w:val="22"/>
        </w:rPr>
      </w:r>
    </w:p>
    <w:p>
      <w:pPr>
        <w:pStyle w:val="Normal"/>
        <w:numPr>
          <w:ilvl w:val="0"/>
          <w:numId w:val="10"/>
        </w:numPr>
        <w:jc w:val="both"/>
        <w:rPr>
          <w:rFonts w:ascii="Arial" w:hAnsi="Arial" w:cs="Arial"/>
          <w:sz w:val="22"/>
        </w:rPr>
      </w:pPr>
      <w:r>
        <w:rPr>
          <w:rFonts w:cs="Arial" w:ascii="Arial" w:hAnsi="Arial"/>
          <w:sz w:val="22"/>
        </w:rPr>
        <w:t>The OEB has already promulgated a comprehensive set of rules, codes, and licensing conditions designed to protect consumers, particularly small volume consumers.</w:t>
      </w:r>
    </w:p>
    <w:p>
      <w:pPr>
        <w:pStyle w:val="Normal"/>
        <w:ind w:start="360" w:end="0"/>
        <w:jc w:val="both"/>
        <w:rPr>
          <w:rFonts w:ascii="Arial" w:hAnsi="Arial" w:cs="Arial"/>
          <w:sz w:val="22"/>
        </w:rPr>
      </w:pPr>
      <w:r>
        <w:rPr>
          <w:rFonts w:cs="Arial" w:ascii="Arial" w:hAnsi="Arial"/>
          <w:sz w:val="22"/>
        </w:rPr>
      </w:r>
    </w:p>
    <w:p>
      <w:pPr>
        <w:pStyle w:val="Normal"/>
        <w:numPr>
          <w:ilvl w:val="0"/>
          <w:numId w:val="10"/>
        </w:numPr>
        <w:jc w:val="both"/>
        <w:rPr>
          <w:rFonts w:ascii="Arial" w:hAnsi="Arial" w:cs="Arial"/>
          <w:sz w:val="22"/>
        </w:rPr>
      </w:pPr>
      <w:r>
        <w:rPr>
          <w:rFonts w:cs="Arial" w:ascii="Arial" w:hAnsi="Arial"/>
          <w:sz w:val="22"/>
        </w:rPr>
        <w:t xml:space="preserve">Ontario electricity consumers have choice </w:t>
      </w:r>
      <w:r>
        <w:rPr>
          <w:rFonts w:cs="Arial" w:ascii="Arial" w:hAnsi="Arial"/>
          <w:sz w:val="22"/>
          <w:u w:val="single"/>
        </w:rPr>
        <w:t>now</w:t>
      </w:r>
      <w:r>
        <w:rPr>
          <w:rFonts w:cs="Arial" w:ascii="Arial" w:hAnsi="Arial"/>
          <w:sz w:val="22"/>
        </w:rPr>
        <w:t>, in advance of market opening.</w:t>
      </w:r>
    </w:p>
    <w:p>
      <w:pPr>
        <w:pStyle w:val="Normal"/>
        <w:ind w:start="360" w:end="0"/>
        <w:jc w:val="both"/>
        <w:rPr>
          <w:rFonts w:ascii="Arial" w:hAnsi="Arial" w:cs="Arial"/>
          <w:sz w:val="22"/>
        </w:rPr>
      </w:pPr>
      <w:r>
        <w:rPr>
          <w:rFonts w:cs="Arial" w:ascii="Arial" w:hAnsi="Arial"/>
          <w:sz w:val="22"/>
        </w:rPr>
      </w:r>
    </w:p>
    <w:p>
      <w:pPr>
        <w:pStyle w:val="Normal"/>
        <w:numPr>
          <w:ilvl w:val="0"/>
          <w:numId w:val="10"/>
        </w:numPr>
        <w:jc w:val="both"/>
        <w:rPr>
          <w:rFonts w:ascii="Arial" w:hAnsi="Arial" w:cs="Arial"/>
          <w:sz w:val="22"/>
        </w:rPr>
      </w:pPr>
      <w:r>
        <w:rPr>
          <w:rFonts w:cs="Arial" w:ascii="Arial" w:hAnsi="Arial"/>
          <w:sz w:val="22"/>
        </w:rPr>
        <w:t>At least three major retailers – Toronto Hydro Energy Services, Direct Energy and Ontario Hydro Energy – are already marketing in the residential and commercial sectors.</w:t>
      </w:r>
    </w:p>
    <w:p>
      <w:pPr>
        <w:pStyle w:val="Normal"/>
        <w:jc w:val="both"/>
        <w:rPr>
          <w:rFonts w:ascii="Arial" w:hAnsi="Arial" w:cs="Arial"/>
          <w:sz w:val="22"/>
        </w:rPr>
      </w:pPr>
      <w:r>
        <w:rPr>
          <w:rFonts w:cs="Arial" w:ascii="Arial" w:hAnsi="Arial"/>
          <w:sz w:val="22"/>
        </w:rPr>
      </w:r>
    </w:p>
    <w:p>
      <w:pPr>
        <w:pStyle w:val="Normal"/>
        <w:numPr>
          <w:ilvl w:val="0"/>
          <w:numId w:val="10"/>
        </w:numPr>
        <w:jc w:val="both"/>
        <w:rPr>
          <w:rFonts w:ascii="Arial" w:hAnsi="Arial" w:cs="Arial"/>
          <w:sz w:val="22"/>
        </w:rPr>
      </w:pPr>
      <w:r>
        <w:rPr>
          <w:rFonts w:cs="Arial" w:ascii="Arial" w:hAnsi="Arial"/>
          <w:sz w:val="22"/>
        </w:rPr>
        <w:t>A significant number of customers have already exercised their choice of electricity supplier.</w:t>
      </w:r>
    </w:p>
    <w:p>
      <w:pPr>
        <w:pStyle w:val="Normal"/>
        <w:jc w:val="both"/>
        <w:rPr>
          <w:rFonts w:ascii="Arial" w:hAnsi="Arial" w:cs="Arial"/>
          <w:sz w:val="22"/>
        </w:rPr>
      </w:pPr>
      <w:r>
        <w:rPr>
          <w:rFonts w:cs="Arial" w:ascii="Arial" w:hAnsi="Arial"/>
          <w:sz w:val="22"/>
        </w:rPr>
      </w:r>
    </w:p>
    <w:p>
      <w:pPr>
        <w:pStyle w:val="Normal"/>
        <w:numPr>
          <w:ilvl w:val="0"/>
          <w:numId w:val="10"/>
        </w:numPr>
        <w:jc w:val="both"/>
        <w:rPr>
          <w:rFonts w:ascii="Arial" w:hAnsi="Arial" w:cs="Arial"/>
          <w:sz w:val="22"/>
        </w:rPr>
      </w:pPr>
      <w:r>
        <w:rPr>
          <w:rFonts w:cs="Arial" w:ascii="Arial" w:hAnsi="Arial"/>
          <w:sz w:val="22"/>
        </w:rPr>
        <w:t>Industry observers estimate that well over 500,000 households and small businesses have already opted to buy their electricity from a retailer other than their incumbent distributor once the market opens.  Industry observers expect that number to grow substantially over the next several months.</w:t>
      </w:r>
    </w:p>
    <w:p>
      <w:pPr>
        <w:pStyle w:val="Normal"/>
        <w:jc w:val="both"/>
        <w:rPr>
          <w:rFonts w:ascii="Arial" w:hAnsi="Arial" w:cs="Arial"/>
          <w:sz w:val="22"/>
        </w:rPr>
      </w:pPr>
      <w:r>
        <w:rPr>
          <w:rFonts w:cs="Arial" w:ascii="Arial" w:hAnsi="Arial"/>
          <w:sz w:val="22"/>
        </w:rPr>
      </w:r>
    </w:p>
    <w:p>
      <w:pPr>
        <w:pStyle w:val="Normal"/>
        <w:numPr>
          <w:ilvl w:val="0"/>
          <w:numId w:val="10"/>
        </w:numPr>
        <w:jc w:val="both"/>
        <w:rPr>
          <w:rFonts w:ascii="Arial" w:hAnsi="Arial" w:cs="Arial"/>
          <w:sz w:val="22"/>
        </w:rPr>
      </w:pPr>
      <w:r>
        <w:rPr>
          <w:rFonts w:cs="Arial" w:ascii="Arial" w:hAnsi="Arial"/>
          <w:sz w:val="22"/>
        </w:rPr>
        <w:t>In the industrial sector - OPG, Enron Canada, Toronto Hydro Energy Services, and others - are already offering a range of pricing products and related services to large loads.</w:t>
      </w:r>
    </w:p>
    <w:p>
      <w:pPr>
        <w:pStyle w:val="Normal"/>
        <w:jc w:val="both"/>
        <w:rPr>
          <w:rFonts w:ascii="Arial" w:hAnsi="Arial" w:cs="Arial"/>
          <w:sz w:val="22"/>
        </w:rPr>
      </w:pPr>
      <w:r>
        <w:rPr>
          <w:rFonts w:cs="Arial" w:ascii="Arial" w:hAnsi="Arial"/>
          <w:sz w:val="22"/>
        </w:rPr>
      </w:r>
    </w:p>
    <w:p>
      <w:pPr>
        <w:pStyle w:val="Normal"/>
        <w:numPr>
          <w:ilvl w:val="0"/>
          <w:numId w:val="10"/>
        </w:numPr>
        <w:jc w:val="both"/>
        <w:rPr>
          <w:rFonts w:ascii="Arial" w:hAnsi="Arial" w:cs="Arial"/>
          <w:sz w:val="22"/>
        </w:rPr>
      </w:pPr>
      <w:r>
        <w:rPr>
          <w:rFonts w:cs="Arial" w:ascii="Arial" w:hAnsi="Arial"/>
          <w:sz w:val="22"/>
        </w:rPr>
        <w:t>For instance, Enron Canada has already completed contracts with a number of large customers and has helped these customers lock in prices in advance of market opening.</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numPr>
          <w:ilvl w:val="0"/>
          <w:numId w:val="10"/>
        </w:numPr>
        <w:jc w:val="both"/>
        <w:rPr>
          <w:rFonts w:ascii="Arial" w:hAnsi="Arial" w:cs="Arial"/>
          <w:sz w:val="22"/>
        </w:rPr>
      </w:pPr>
      <w:r>
        <w:rPr>
          <w:rFonts w:cs="Arial" w:ascii="Arial" w:hAnsi="Arial"/>
          <w:sz w:val="22"/>
        </w:rPr>
        <w:t>Enron can also offer industrial customers a product designed to give those customers short-term Winter 2001/2002 price protection for the 60 or 90 days following a November 1 market opening.  This product will help industrials manage the “transition” from a regulated rate environment to an open market environment.</w:t>
      </w:r>
    </w:p>
    <w:p>
      <w:pPr>
        <w:pStyle w:val="Normal"/>
        <w:jc w:val="both"/>
        <w:rPr>
          <w:rFonts w:ascii="Arial" w:hAnsi="Arial" w:cs="Arial"/>
          <w:sz w:val="22"/>
        </w:rPr>
      </w:pPr>
      <w:r>
        <w:rPr>
          <w:rFonts w:cs="Arial" w:ascii="Arial" w:hAnsi="Arial"/>
          <w:sz w:val="22"/>
        </w:rPr>
      </w:r>
    </w:p>
    <w:p>
      <w:pPr>
        <w:pStyle w:val="Normal"/>
        <w:numPr>
          <w:ilvl w:val="0"/>
          <w:numId w:val="10"/>
        </w:numPr>
        <w:jc w:val="both"/>
        <w:rPr>
          <w:rFonts w:ascii="Arial" w:hAnsi="Arial" w:cs="Arial"/>
          <w:sz w:val="22"/>
        </w:rPr>
      </w:pPr>
      <w:r>
        <w:rPr>
          <w:rFonts w:cs="Arial" w:ascii="Arial" w:hAnsi="Arial"/>
          <w:sz w:val="22"/>
        </w:rPr>
        <w:t>Some consumers will make the choice to enter the open market unhedged.  Those consumers are nonetheless protected by the rebate mechanism under the Market Power Mitigation Agreement and, in the case of many industrial customers, by the OPG “transitional rate” arrangements.</w:t>
      </w:r>
    </w:p>
    <w:p>
      <w:pPr>
        <w:pStyle w:val="Normal"/>
        <w:jc w:val="both"/>
        <w:rPr>
          <w:rFonts w:ascii="Arial" w:hAnsi="Arial" w:cs="Arial"/>
          <w:sz w:val="22"/>
        </w:rPr>
      </w:pPr>
      <w:r>
        <w:rPr>
          <w:rFonts w:cs="Arial" w:ascii="Arial" w:hAnsi="Arial"/>
          <w:sz w:val="22"/>
        </w:rPr>
      </w:r>
    </w:p>
    <w:p>
      <w:pPr>
        <w:pStyle w:val="Normal"/>
        <w:numPr>
          <w:ilvl w:val="0"/>
          <w:numId w:val="10"/>
        </w:numPr>
        <w:jc w:val="both"/>
        <w:rPr>
          <w:rFonts w:ascii="Arial" w:hAnsi="Arial" w:cs="Arial"/>
          <w:sz w:val="22"/>
        </w:rPr>
      </w:pPr>
      <w:r>
        <w:rPr>
          <w:rFonts w:cs="Arial" w:ascii="Arial" w:hAnsi="Arial"/>
          <w:sz w:val="22"/>
        </w:rPr>
        <w:t>Those consumers who choose to enter the market unhedged will, in fact, be served better by an earlier market opening date (i.e. November 2001) than by a later opening date (i.e. Spring 2002).  Although Ontario demand typically peaks in the winter months, market fundamentals throughout the Eastern Interconnect indicate that Ontario prices will peak in the summer months rather than the winter months.  Accordingly, opening the market in the Fall of 2001 will give consumers 7 or 8 months to learn – through experience – about the operation of the market prior to the summer of 2002 and to determine, during that period, whether they want to adopt appropriate commercial hedging arrangements.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2"/>
        <w:ind w:hanging="2400" w:start="2400" w:end="0"/>
        <w:rPr>
          <w:b w:val="false"/>
          <w:bCs w:val="false"/>
          <w:i w:val="false"/>
          <w:i w:val="false"/>
          <w:iCs w:val="false"/>
        </w:rPr>
      </w:pPr>
      <w:r>
        <w:rPr/>
        <w:t>Guiding Principle 2:  Creating a Strong Business Climate with a Reliable Supply of Electricity</w:t>
      </w:r>
    </w:p>
    <w:p>
      <w:pPr>
        <w:pStyle w:val="Normal"/>
        <w:jc w:val="both"/>
        <w:rPr>
          <w:b/>
          <w:bCs/>
          <w:i/>
          <w:i/>
          <w:iCs/>
        </w:rPr>
      </w:pPr>
      <w:r>
        <w:rPr>
          <w:b/>
          <w:bCs/>
          <w:i/>
          <w:iCs/>
        </w:rPr>
      </w:r>
    </w:p>
    <w:p>
      <w:pPr>
        <w:pStyle w:val="Normal"/>
        <w:numPr>
          <w:ilvl w:val="0"/>
          <w:numId w:val="9"/>
        </w:numPr>
        <w:jc w:val="both"/>
        <w:rPr>
          <w:rFonts w:ascii="Arial" w:hAnsi="Arial" w:cs="Arial"/>
          <w:sz w:val="22"/>
        </w:rPr>
      </w:pPr>
      <w:r>
        <w:rPr>
          <w:rFonts w:cs="Arial" w:ascii="Arial" w:hAnsi="Arial"/>
          <w:sz w:val="22"/>
        </w:rPr>
        <w:t>The best way to create a strong business climate with a reliable supply of electricity is to open the Ontario electricity market to competition as soon as possible.</w:t>
      </w:r>
    </w:p>
    <w:p>
      <w:pPr>
        <w:pStyle w:val="Normal"/>
        <w:ind w:start="360" w:end="0"/>
        <w:jc w:val="both"/>
        <w:rPr>
          <w:rFonts w:ascii="Arial" w:hAnsi="Arial" w:cs="Arial"/>
          <w:sz w:val="22"/>
        </w:rPr>
      </w:pPr>
      <w:r>
        <w:rPr>
          <w:rFonts w:cs="Arial" w:ascii="Arial" w:hAnsi="Arial"/>
          <w:sz w:val="22"/>
        </w:rPr>
      </w:r>
    </w:p>
    <w:p>
      <w:pPr>
        <w:pStyle w:val="Normal"/>
        <w:numPr>
          <w:ilvl w:val="0"/>
          <w:numId w:val="9"/>
        </w:numPr>
        <w:jc w:val="both"/>
        <w:rPr>
          <w:rFonts w:ascii="Arial" w:hAnsi="Arial" w:cs="Arial"/>
          <w:sz w:val="22"/>
        </w:rPr>
      </w:pPr>
      <w:r>
        <w:rPr>
          <w:rFonts w:cs="Arial" w:ascii="Arial" w:hAnsi="Arial"/>
          <w:sz w:val="22"/>
        </w:rPr>
        <w:t>Opening the market as soon as possible will strengthen the Ontario business climate in several ways:</w:t>
      </w:r>
    </w:p>
    <w:p>
      <w:pPr>
        <w:pStyle w:val="Normal"/>
        <w:jc w:val="both"/>
        <w:rPr>
          <w:rFonts w:ascii="Arial" w:hAnsi="Arial" w:cs="Arial"/>
          <w:sz w:val="22"/>
        </w:rPr>
      </w:pPr>
      <w:r>
        <w:rPr>
          <w:rFonts w:cs="Arial" w:ascii="Arial" w:hAnsi="Arial"/>
          <w:sz w:val="22"/>
        </w:rPr>
      </w:r>
    </w:p>
    <w:p>
      <w:pPr>
        <w:pStyle w:val="Normal"/>
        <w:ind w:hanging="720" w:start="1440" w:end="0"/>
        <w:jc w:val="both"/>
        <w:rPr>
          <w:rFonts w:ascii="Arial" w:hAnsi="Arial" w:cs="Arial"/>
          <w:i/>
          <w:i/>
          <w:iCs/>
          <w:sz w:val="22"/>
        </w:rPr>
      </w:pPr>
      <w:r>
        <w:rPr>
          <w:rFonts w:cs="Arial" w:ascii="Arial" w:hAnsi="Arial"/>
          <w:i/>
          <w:iCs/>
          <w:sz w:val="22"/>
        </w:rPr>
        <w:t>1.</w:t>
        <w:tab/>
        <w:t>Opening the market as soon as possible will help restore and sustain Ontario’s credibility among those who might otherwise invest in the Province’s electricity market, and, in particular, among those who have already committed significant resources to the market.</w:t>
      </w:r>
    </w:p>
    <w:p>
      <w:pPr>
        <w:pStyle w:val="Normal"/>
        <w:ind w:start="720" w:end="0"/>
        <w:jc w:val="both"/>
        <w:rPr>
          <w:rFonts w:ascii="Arial" w:hAnsi="Arial" w:cs="Arial"/>
          <w:i/>
          <w:i/>
          <w:iCs/>
          <w:sz w:val="22"/>
        </w:rPr>
      </w:pPr>
      <w:r>
        <w:rPr>
          <w:rFonts w:cs="Arial" w:ascii="Arial" w:hAnsi="Arial"/>
          <w:i/>
          <w:iCs/>
          <w:sz w:val="22"/>
        </w:rPr>
      </w:r>
    </w:p>
    <w:p>
      <w:pPr>
        <w:pStyle w:val="Normal"/>
        <w:ind w:hanging="720" w:start="1440" w:end="0"/>
        <w:jc w:val="both"/>
        <w:rPr>
          <w:rFonts w:ascii="Arial" w:hAnsi="Arial" w:cs="Arial"/>
          <w:i/>
          <w:i/>
          <w:iCs/>
          <w:sz w:val="22"/>
        </w:rPr>
      </w:pPr>
      <w:r>
        <w:rPr>
          <w:rFonts w:cs="Arial" w:ascii="Arial" w:hAnsi="Arial"/>
          <w:i/>
          <w:iCs/>
          <w:sz w:val="22"/>
        </w:rPr>
        <w:t>2.</w:t>
        <w:tab/>
        <w:t>Restoring and sustaining credibility in Ontario’s electricity restructuring process is critical to attracting investment capital to the Ontario electricity sector:  The sooner the market opens, the sooner that capital will be committed.</w:t>
      </w:r>
    </w:p>
    <w:p>
      <w:pPr>
        <w:pStyle w:val="Normal"/>
        <w:ind w:hanging="720" w:start="1440" w:end="0"/>
        <w:jc w:val="both"/>
        <w:rPr>
          <w:rFonts w:ascii="Arial" w:hAnsi="Arial" w:cs="Arial"/>
          <w:i/>
          <w:i/>
          <w:iCs/>
          <w:sz w:val="22"/>
        </w:rPr>
      </w:pPr>
      <w:r>
        <w:rPr>
          <w:rFonts w:cs="Arial" w:ascii="Arial" w:hAnsi="Arial"/>
          <w:i/>
          <w:iCs/>
          <w:sz w:val="22"/>
        </w:rPr>
      </w:r>
    </w:p>
    <w:p>
      <w:pPr>
        <w:pStyle w:val="Normal"/>
        <w:ind w:hanging="720" w:start="1440" w:end="0"/>
        <w:jc w:val="both"/>
        <w:rPr>
          <w:rFonts w:ascii="Arial" w:hAnsi="Arial" w:cs="Arial"/>
          <w:sz w:val="22"/>
        </w:rPr>
      </w:pPr>
      <w:r>
        <w:rPr>
          <w:rFonts w:cs="Arial" w:ascii="Arial" w:hAnsi="Arial"/>
          <w:i/>
          <w:iCs/>
          <w:sz w:val="22"/>
        </w:rPr>
        <w:t>3.</w:t>
        <w:tab/>
        <w:t>Opening the market as soon as possible will enhance OPG’s plans to “decontrol” the Lakeview, Lennox, Thunder Bay, and Atikokan fossil units and the hydraulic stations on the Mississagi River.  On the other hand, continued delay and uncertainty will negatively impact the valuation of those OPG assets.  In the face of continuing uncertainty and delay regarding the restructuring of the Ontario electricity sector, prospective buyers of those assets will either:  a) stay away altogether; or b) discount the price they would otherwise pay for OPG assets.   It is in the interest of the Government and all Ontario electricity consumers to ensure that OPG’s “decontrol” program yields the highest possible value.  The best way to achieve the highest value is to attract as many potential buyers as possible and to reduce the uncertainty about the future of the Ontario electricity sector.  The best way to attract interested parties and to reduce uncertainty is to open the market as soon as possible.</w:t>
      </w:r>
    </w:p>
    <w:p>
      <w:pPr>
        <w:pStyle w:val="Normal"/>
        <w:jc w:val="both"/>
        <w:rPr>
          <w:rFonts w:ascii="Arial" w:hAnsi="Arial" w:cs="Arial"/>
          <w:sz w:val="22"/>
        </w:rPr>
      </w:pPr>
      <w:r>
        <w:rPr>
          <w:rFonts w:cs="Arial" w:ascii="Arial" w:hAnsi="Arial"/>
          <w:sz w:val="22"/>
        </w:rPr>
      </w:r>
    </w:p>
    <w:p>
      <w:pPr>
        <w:pStyle w:val="Normal"/>
        <w:numPr>
          <w:ilvl w:val="0"/>
          <w:numId w:val="6"/>
        </w:numPr>
        <w:jc w:val="both"/>
        <w:rPr>
          <w:rFonts w:ascii="Arial" w:hAnsi="Arial" w:cs="Arial"/>
          <w:sz w:val="22"/>
        </w:rPr>
      </w:pPr>
      <w:r>
        <w:rPr>
          <w:rFonts w:cs="Arial" w:ascii="Arial" w:hAnsi="Arial"/>
          <w:sz w:val="22"/>
        </w:rPr>
        <w:t>Opening the Ontario electricity market as soon as possible will enhance the stability and security of Ontario’s electricity supply:</w:t>
      </w:r>
    </w:p>
    <w:p>
      <w:pPr>
        <w:pStyle w:val="Normal"/>
        <w:ind w:start="360" w:end="0"/>
        <w:jc w:val="both"/>
        <w:rPr>
          <w:rFonts w:ascii="Arial" w:hAnsi="Arial" w:cs="Arial"/>
          <w:sz w:val="22"/>
        </w:rPr>
      </w:pPr>
      <w:r>
        <w:rPr>
          <w:rFonts w:cs="Arial" w:ascii="Arial" w:hAnsi="Arial"/>
          <w:sz w:val="22"/>
        </w:rPr>
      </w:r>
    </w:p>
    <w:p>
      <w:pPr>
        <w:pStyle w:val="Normal"/>
        <w:numPr>
          <w:ilvl w:val="0"/>
          <w:numId w:val="2"/>
        </w:numPr>
        <w:jc w:val="both"/>
        <w:rPr>
          <w:rFonts w:ascii="Arial" w:hAnsi="Arial" w:cs="Arial"/>
          <w:i/>
          <w:i/>
          <w:iCs/>
          <w:sz w:val="22"/>
        </w:rPr>
      </w:pPr>
      <w:r>
        <w:rPr>
          <w:rFonts w:cs="Arial" w:ascii="Arial" w:hAnsi="Arial"/>
          <w:i/>
          <w:iCs/>
          <w:sz w:val="22"/>
        </w:rPr>
        <w:t>Opening the market as soon as possible will foster investment in new generation in the Province, particularly in facilities that are smaller and more flexible than the nuclear units on which Ontario now relies so heavily.  Such investment will enhance the reliability of Ontario’s system.</w:t>
      </w:r>
    </w:p>
    <w:p>
      <w:pPr>
        <w:pStyle w:val="Normal"/>
        <w:jc w:val="both"/>
        <w:rPr>
          <w:rFonts w:ascii="Arial" w:hAnsi="Arial" w:cs="Arial"/>
          <w:i/>
          <w:i/>
          <w:iCs/>
          <w:sz w:val="22"/>
        </w:rPr>
      </w:pPr>
      <w:r>
        <w:rPr>
          <w:rFonts w:cs="Arial" w:ascii="Arial" w:hAnsi="Arial"/>
          <w:i/>
          <w:iCs/>
          <w:sz w:val="22"/>
        </w:rPr>
      </w:r>
    </w:p>
    <w:p>
      <w:pPr>
        <w:pStyle w:val="Normal"/>
        <w:numPr>
          <w:ilvl w:val="0"/>
          <w:numId w:val="2"/>
        </w:numPr>
        <w:jc w:val="both"/>
        <w:rPr>
          <w:rFonts w:ascii="Arial" w:hAnsi="Arial" w:cs="Arial"/>
          <w:i/>
          <w:i/>
          <w:iCs/>
          <w:sz w:val="22"/>
        </w:rPr>
      </w:pPr>
      <w:r>
        <w:rPr>
          <w:rFonts w:cs="Arial" w:ascii="Arial" w:hAnsi="Arial"/>
          <w:i/>
          <w:iCs/>
          <w:sz w:val="22"/>
        </w:rPr>
        <w:t>Opening the market as soon as possible will give Ontario consumers more reliable access to the growing generation capacity in the connected U.S. markets.  Those interconnections give Ontario consumers a valuable hedge or insurance policy, since Ontario’s demand peaks in the winter months, whereas demand in the connected U.S. markets peaks in the summer months.</w:t>
      </w:r>
    </w:p>
    <w:p>
      <w:pPr>
        <w:pStyle w:val="Normal"/>
        <w:jc w:val="both"/>
        <w:rPr>
          <w:rFonts w:ascii="Arial" w:hAnsi="Arial" w:cs="Arial"/>
          <w:i/>
          <w:i/>
          <w:iCs/>
          <w:sz w:val="22"/>
        </w:rPr>
      </w:pPr>
      <w:r>
        <w:rPr>
          <w:rFonts w:cs="Arial" w:ascii="Arial" w:hAnsi="Arial"/>
          <w:i/>
          <w:iCs/>
          <w:sz w:val="22"/>
        </w:rPr>
      </w:r>
    </w:p>
    <w:p>
      <w:pPr>
        <w:pStyle w:val="Normal"/>
        <w:numPr>
          <w:ilvl w:val="0"/>
          <w:numId w:val="2"/>
        </w:numPr>
        <w:jc w:val="both"/>
        <w:rPr>
          <w:rFonts w:ascii="Arial" w:hAnsi="Arial" w:cs="Arial"/>
          <w:sz w:val="22"/>
        </w:rPr>
      </w:pPr>
      <w:r>
        <w:rPr>
          <w:rFonts w:cs="Arial" w:ascii="Arial" w:hAnsi="Arial"/>
          <w:i/>
          <w:iCs/>
          <w:sz w:val="22"/>
        </w:rPr>
        <w:t>Prices in the Eastern Interconnect will decline as substantial new generation facilities are built throughout the region and as fuel costs decline.  The best way for Ontario to reap the benefits of this trend is to establish an open market as soon as possible.</w:t>
      </w:r>
    </w:p>
    <w:p>
      <w:pPr>
        <w:pStyle w:val="Normal"/>
        <w:jc w:val="both"/>
        <w:rPr>
          <w:rFonts w:ascii="Arial" w:hAnsi="Arial" w:cs="Arial"/>
          <w:sz w:val="22"/>
        </w:rPr>
      </w:pPr>
      <w:r>
        <w:rPr>
          <w:rFonts w:cs="Arial" w:ascii="Arial" w:hAnsi="Arial"/>
          <w:sz w:val="22"/>
        </w:rPr>
      </w:r>
    </w:p>
    <w:p>
      <w:pPr>
        <w:pStyle w:val="Normal"/>
        <w:numPr>
          <w:ilvl w:val="1"/>
          <w:numId w:val="2"/>
        </w:numPr>
        <w:tabs>
          <w:tab w:val="left" w:pos="720" w:leader="none"/>
        </w:tabs>
        <w:ind w:hanging="480" w:start="720" w:end="0"/>
        <w:jc w:val="both"/>
        <w:rPr>
          <w:rFonts w:ascii="Arial" w:hAnsi="Arial" w:cs="Arial"/>
          <w:sz w:val="22"/>
        </w:rPr>
      </w:pPr>
      <w:r>
        <w:rPr>
          <w:rFonts w:cs="Arial" w:ascii="Arial" w:hAnsi="Arial"/>
          <w:sz w:val="22"/>
        </w:rPr>
        <w:t>Making market opening conditional in any way on the return to service of one or more of the Pickering A units would be the wrong public policy decision for Ontario:</w:t>
      </w:r>
    </w:p>
    <w:p>
      <w:pPr>
        <w:pStyle w:val="Normal"/>
        <w:jc w:val="both"/>
        <w:rPr>
          <w:rFonts w:ascii="Arial" w:hAnsi="Arial" w:cs="Arial"/>
          <w:sz w:val="22"/>
        </w:rPr>
      </w:pPr>
      <w:r>
        <w:rPr>
          <w:rFonts w:cs="Arial" w:ascii="Arial" w:hAnsi="Arial"/>
          <w:sz w:val="22"/>
        </w:rPr>
      </w:r>
    </w:p>
    <w:p>
      <w:pPr>
        <w:pStyle w:val="Normal"/>
        <w:numPr>
          <w:ilvl w:val="0"/>
          <w:numId w:val="7"/>
        </w:numPr>
        <w:jc w:val="both"/>
        <w:rPr>
          <w:rFonts w:ascii="Arial" w:hAnsi="Arial" w:cs="Arial"/>
          <w:i/>
          <w:i/>
          <w:iCs/>
          <w:sz w:val="22"/>
        </w:rPr>
      </w:pPr>
      <w:r>
        <w:rPr>
          <w:rFonts w:cs="Arial" w:ascii="Arial" w:hAnsi="Arial"/>
          <w:i/>
          <w:iCs/>
          <w:sz w:val="22"/>
        </w:rPr>
        <w:t>No one can say with confidence when the Pickering units will in fact be operational.  Although the target “return to service” date is December 31, 2001, some industry observers suggest that the date may be June 2002 or even later.  Accordingly, making market opening conditional in any way on the return to service of the Pickering A units would add considerably to uncertainty among investors, new entrants and those who may be interested in acquiring the OPG assets now subject to “decontrol”.</w:t>
      </w:r>
    </w:p>
    <w:p>
      <w:pPr>
        <w:pStyle w:val="Normal"/>
        <w:ind w:start="720" w:end="0"/>
        <w:jc w:val="both"/>
        <w:rPr>
          <w:rFonts w:ascii="Arial" w:hAnsi="Arial" w:cs="Arial"/>
          <w:i/>
          <w:i/>
          <w:iCs/>
          <w:sz w:val="22"/>
        </w:rPr>
      </w:pPr>
      <w:r>
        <w:rPr>
          <w:rFonts w:cs="Arial" w:ascii="Arial" w:hAnsi="Arial"/>
          <w:i/>
          <w:iCs/>
          <w:sz w:val="22"/>
        </w:rPr>
      </w:r>
    </w:p>
    <w:p>
      <w:pPr>
        <w:pStyle w:val="Normal"/>
        <w:numPr>
          <w:ilvl w:val="0"/>
          <w:numId w:val="7"/>
        </w:numPr>
        <w:jc w:val="both"/>
        <w:rPr>
          <w:rFonts w:ascii="Arial" w:hAnsi="Arial" w:cs="Arial"/>
          <w:i/>
          <w:i/>
          <w:iCs/>
          <w:sz w:val="22"/>
        </w:rPr>
      </w:pPr>
      <w:r>
        <w:rPr>
          <w:rFonts w:cs="Arial" w:ascii="Arial" w:hAnsi="Arial"/>
          <w:i/>
          <w:iCs/>
          <w:sz w:val="22"/>
        </w:rPr>
        <w:t>That uncertainty could cause investment in new Ontario generation resources to be delayed or lost altogether.  The delay or loss of that investment would be a serious blow to Ontario, particularly given that those generation resources would be more flexible and reliable than the nuclear units on which now Ontario depends so heavily.</w:t>
      </w:r>
    </w:p>
    <w:p>
      <w:pPr>
        <w:pStyle w:val="Normal"/>
        <w:jc w:val="both"/>
        <w:rPr>
          <w:rFonts w:ascii="Arial" w:hAnsi="Arial" w:cs="Arial"/>
          <w:i/>
          <w:i/>
          <w:iCs/>
          <w:sz w:val="22"/>
        </w:rPr>
      </w:pPr>
      <w:r>
        <w:rPr>
          <w:rFonts w:cs="Arial" w:ascii="Arial" w:hAnsi="Arial"/>
          <w:i/>
          <w:iCs/>
          <w:sz w:val="22"/>
        </w:rPr>
      </w:r>
    </w:p>
    <w:p>
      <w:pPr>
        <w:pStyle w:val="Normal"/>
        <w:numPr>
          <w:ilvl w:val="0"/>
          <w:numId w:val="7"/>
        </w:numPr>
        <w:jc w:val="both"/>
        <w:rPr>
          <w:rFonts w:ascii="Arial" w:hAnsi="Arial" w:cs="Arial"/>
          <w:i/>
          <w:i/>
          <w:iCs/>
          <w:sz w:val="22"/>
        </w:rPr>
      </w:pPr>
      <w:r>
        <w:rPr>
          <w:rFonts w:cs="Arial" w:ascii="Arial" w:hAnsi="Arial"/>
          <w:i/>
          <w:iCs/>
          <w:sz w:val="22"/>
        </w:rPr>
        <w:t>As noted above, that uncertainty would also erode the value of the OPG assets now subject to “decontrol”.</w:t>
      </w:r>
    </w:p>
    <w:p>
      <w:pPr>
        <w:pStyle w:val="Normal"/>
        <w:jc w:val="both"/>
        <w:rPr>
          <w:rFonts w:ascii="Arial" w:hAnsi="Arial" w:cs="Arial"/>
          <w:i/>
          <w:i/>
          <w:iCs/>
          <w:sz w:val="22"/>
        </w:rPr>
      </w:pPr>
      <w:r>
        <w:rPr>
          <w:rFonts w:cs="Arial" w:ascii="Arial" w:hAnsi="Arial"/>
          <w:i/>
          <w:iCs/>
          <w:sz w:val="22"/>
        </w:rPr>
      </w:r>
    </w:p>
    <w:p>
      <w:pPr>
        <w:pStyle w:val="Normal"/>
        <w:numPr>
          <w:ilvl w:val="0"/>
          <w:numId w:val="7"/>
        </w:numPr>
        <w:jc w:val="both"/>
        <w:rPr>
          <w:rFonts w:ascii="Arial" w:hAnsi="Arial" w:cs="Arial"/>
          <w:sz w:val="22"/>
        </w:rPr>
      </w:pPr>
      <w:r>
        <w:rPr>
          <w:rFonts w:cs="Arial" w:ascii="Arial" w:hAnsi="Arial"/>
          <w:i/>
          <w:iCs/>
          <w:sz w:val="22"/>
        </w:rPr>
        <w:t>The return to service of one or more of the Pickering units will not by itself have a material impact on power prices in Ontario.  Indeed, we can say with a high degree of confidence that, given Ontario’s reserve margin and resource mix, Ontario prices will be lower than prices in the connected U.S. markets, even prior to the return of the Pickering units.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2"/>
        <w:ind w:hanging="0" w:start="0"/>
        <w:rPr/>
      </w:pPr>
      <w:r>
        <w:rPr/>
        <w:t>Guiding Principle 3:  Protecting the Environment</w:t>
      </w:r>
    </w:p>
    <w:p>
      <w:pPr>
        <w:pStyle w:val="Normal"/>
        <w:jc w:val="both"/>
        <w:rPr>
          <w:rFonts w:ascii="Arial" w:hAnsi="Arial" w:cs="Arial"/>
          <w:sz w:val="22"/>
        </w:rPr>
      </w:pPr>
      <w:r>
        <w:rPr>
          <w:rFonts w:cs="Arial" w:ascii="Arial" w:hAnsi="Arial"/>
          <w:sz w:val="22"/>
        </w:rPr>
      </w:r>
    </w:p>
    <w:p>
      <w:pPr>
        <w:pStyle w:val="Normal"/>
        <w:numPr>
          <w:ilvl w:val="0"/>
          <w:numId w:val="8"/>
        </w:numPr>
        <w:jc w:val="both"/>
        <w:rPr>
          <w:rFonts w:ascii="Arial" w:hAnsi="Arial" w:cs="Arial"/>
          <w:sz w:val="22"/>
        </w:rPr>
      </w:pPr>
      <w:r>
        <w:rPr>
          <w:rFonts w:cs="Arial" w:ascii="Arial" w:hAnsi="Arial"/>
          <w:sz w:val="22"/>
        </w:rPr>
        <w:t>The Ministry of the Environment has already taken or announced significant measures to protect the environment and, in particular, Ontario’s air quality.</w:t>
      </w:r>
    </w:p>
    <w:p>
      <w:pPr>
        <w:pStyle w:val="Normal"/>
        <w:ind w:start="360" w:end="0"/>
        <w:jc w:val="both"/>
        <w:rPr>
          <w:rFonts w:ascii="Arial" w:hAnsi="Arial" w:cs="Arial"/>
          <w:sz w:val="22"/>
        </w:rPr>
      </w:pPr>
      <w:r>
        <w:rPr>
          <w:rFonts w:cs="Arial" w:ascii="Arial" w:hAnsi="Arial"/>
          <w:sz w:val="22"/>
        </w:rPr>
      </w:r>
    </w:p>
    <w:p>
      <w:pPr>
        <w:pStyle w:val="Normal"/>
        <w:numPr>
          <w:ilvl w:val="0"/>
          <w:numId w:val="8"/>
        </w:numPr>
        <w:jc w:val="both"/>
        <w:rPr>
          <w:rFonts w:ascii="Arial" w:hAnsi="Arial" w:cs="Arial"/>
          <w:sz w:val="22"/>
        </w:rPr>
      </w:pPr>
      <w:r>
        <w:rPr>
          <w:rFonts w:cs="Arial" w:ascii="Arial" w:hAnsi="Arial"/>
          <w:sz w:val="22"/>
        </w:rPr>
        <w:t>Those measures include:</w:t>
      </w:r>
    </w:p>
    <w:p>
      <w:pPr>
        <w:pStyle w:val="Normal"/>
        <w:jc w:val="both"/>
        <w:rPr>
          <w:rFonts w:ascii="Arial" w:hAnsi="Arial" w:cs="Arial"/>
          <w:sz w:val="22"/>
        </w:rPr>
      </w:pPr>
      <w:r>
        <w:rPr>
          <w:rFonts w:cs="Arial" w:ascii="Arial" w:hAnsi="Arial"/>
          <w:sz w:val="22"/>
        </w:rPr>
      </w:r>
    </w:p>
    <w:p>
      <w:pPr>
        <w:pStyle w:val="Normal"/>
        <w:numPr>
          <w:ilvl w:val="0"/>
          <w:numId w:val="12"/>
        </w:numPr>
        <w:jc w:val="both"/>
        <w:rPr>
          <w:rFonts w:ascii="Arial" w:hAnsi="Arial" w:cs="Arial"/>
          <w:i/>
          <w:i/>
          <w:iCs/>
          <w:sz w:val="22"/>
        </w:rPr>
      </w:pPr>
      <w:r>
        <w:rPr>
          <w:rFonts w:cs="Arial" w:ascii="Arial" w:hAnsi="Arial"/>
          <w:i/>
          <w:iCs/>
          <w:sz w:val="22"/>
        </w:rPr>
        <w:t>stringent sector caps on emissions of nitrogen oxides and sulphur dioxide;</w:t>
      </w:r>
    </w:p>
    <w:p>
      <w:pPr>
        <w:pStyle w:val="Normal"/>
        <w:ind w:start="720" w:end="0"/>
        <w:jc w:val="both"/>
        <w:rPr>
          <w:rFonts w:ascii="Arial" w:hAnsi="Arial" w:cs="Arial"/>
          <w:i/>
          <w:i/>
          <w:iCs/>
          <w:sz w:val="22"/>
        </w:rPr>
      </w:pPr>
      <w:r>
        <w:rPr>
          <w:rFonts w:cs="Arial" w:ascii="Arial" w:hAnsi="Arial"/>
          <w:i/>
          <w:iCs/>
          <w:sz w:val="22"/>
        </w:rPr>
      </w:r>
    </w:p>
    <w:p>
      <w:pPr>
        <w:pStyle w:val="Normal"/>
        <w:numPr>
          <w:ilvl w:val="0"/>
          <w:numId w:val="12"/>
        </w:numPr>
        <w:jc w:val="both"/>
        <w:rPr>
          <w:rFonts w:ascii="Arial" w:hAnsi="Arial" w:cs="Arial"/>
          <w:i/>
          <w:i/>
          <w:iCs/>
          <w:sz w:val="22"/>
        </w:rPr>
      </w:pPr>
      <w:r>
        <w:rPr>
          <w:rFonts w:cs="Arial" w:ascii="Arial" w:hAnsi="Arial"/>
          <w:i/>
          <w:iCs/>
          <w:sz w:val="22"/>
        </w:rPr>
        <w:t>a requirement that OPG’s Lakeview station stop burning coal by April 30, 2005 and, in the meantime, operate under a station-specific nitrogen oxides emissions cap;</w:t>
      </w:r>
    </w:p>
    <w:p>
      <w:pPr>
        <w:pStyle w:val="Normal"/>
        <w:jc w:val="both"/>
        <w:rPr>
          <w:rFonts w:ascii="Arial" w:hAnsi="Arial" w:cs="Arial"/>
          <w:i/>
          <w:i/>
          <w:iCs/>
          <w:sz w:val="22"/>
        </w:rPr>
      </w:pPr>
      <w:r>
        <w:rPr>
          <w:rFonts w:cs="Arial" w:ascii="Arial" w:hAnsi="Arial"/>
          <w:i/>
          <w:iCs/>
          <w:sz w:val="22"/>
        </w:rPr>
      </w:r>
    </w:p>
    <w:p>
      <w:pPr>
        <w:pStyle w:val="Normal"/>
        <w:numPr>
          <w:ilvl w:val="0"/>
          <w:numId w:val="12"/>
        </w:numPr>
        <w:jc w:val="both"/>
        <w:rPr>
          <w:rFonts w:ascii="Arial" w:hAnsi="Arial" w:cs="Arial"/>
          <w:i/>
          <w:i/>
          <w:iCs/>
          <w:sz w:val="22"/>
        </w:rPr>
      </w:pPr>
      <w:r>
        <w:rPr>
          <w:rFonts w:cs="Arial" w:ascii="Arial" w:hAnsi="Arial"/>
          <w:i/>
          <w:iCs/>
          <w:sz w:val="22"/>
        </w:rPr>
        <w:t>the initiation of an emissions reduction trading program; and</w:t>
      </w:r>
    </w:p>
    <w:p>
      <w:pPr>
        <w:pStyle w:val="Normal"/>
        <w:jc w:val="both"/>
        <w:rPr>
          <w:rFonts w:ascii="Arial" w:hAnsi="Arial" w:cs="Arial"/>
          <w:i/>
          <w:i/>
          <w:iCs/>
          <w:sz w:val="22"/>
        </w:rPr>
      </w:pPr>
      <w:r>
        <w:rPr>
          <w:rFonts w:cs="Arial" w:ascii="Arial" w:hAnsi="Arial"/>
          <w:i/>
          <w:iCs/>
          <w:sz w:val="22"/>
        </w:rPr>
      </w:r>
    </w:p>
    <w:p>
      <w:pPr>
        <w:pStyle w:val="Normal"/>
        <w:numPr>
          <w:ilvl w:val="0"/>
          <w:numId w:val="12"/>
        </w:numPr>
        <w:jc w:val="both"/>
        <w:rPr>
          <w:rFonts w:ascii="Arial" w:hAnsi="Arial" w:cs="Arial"/>
          <w:sz w:val="22"/>
        </w:rPr>
      </w:pPr>
      <w:r>
        <w:rPr>
          <w:rFonts w:cs="Arial" w:ascii="Arial" w:hAnsi="Arial"/>
          <w:i/>
          <w:iCs/>
          <w:sz w:val="22"/>
        </w:rPr>
        <w:t>the modification of the environmental assessment requirements to ensure that those requirements:  a) apply in an even-handed manner to public and private sector projects; and b) distinguish, in an appropriate fashion, among project categories according to the degree of environmental impact.</w:t>
      </w:r>
    </w:p>
    <w:p>
      <w:pPr>
        <w:pStyle w:val="Normal"/>
        <w:jc w:val="both"/>
        <w:rPr>
          <w:rFonts w:ascii="Arial" w:hAnsi="Arial" w:cs="Arial"/>
          <w:sz w:val="22"/>
        </w:rPr>
      </w:pPr>
      <w:r>
        <w:rPr>
          <w:rFonts w:cs="Arial" w:ascii="Arial" w:hAnsi="Arial"/>
          <w:sz w:val="22"/>
        </w:rPr>
      </w:r>
    </w:p>
    <w:p>
      <w:pPr>
        <w:pStyle w:val="Normal"/>
        <w:numPr>
          <w:ilvl w:val="1"/>
          <w:numId w:val="12"/>
        </w:numPr>
        <w:tabs>
          <w:tab w:val="left" w:pos="720" w:leader="none"/>
        </w:tabs>
        <w:ind w:hanging="360" w:start="720" w:end="0"/>
        <w:jc w:val="both"/>
        <w:rPr>
          <w:rFonts w:ascii="Arial" w:hAnsi="Arial" w:cs="Arial"/>
          <w:sz w:val="22"/>
        </w:rPr>
      </w:pPr>
      <w:r>
        <w:rPr>
          <w:rFonts w:cs="Arial" w:ascii="Arial" w:hAnsi="Arial"/>
          <w:sz w:val="22"/>
        </w:rPr>
        <w:t>The opening of the Ontario market will have a benign – indeed positive – impact on the environment.  In an open Ontario market with real time spot pricing, consumers will have a strong incentive to adopt demand-management measures designed to reduce electricity consumption.  The adoption of these measures will, everything else being equal, reduce demand and, in turn, reduce the emissions associated with electricity production.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BodyText"/>
        <w:ind w:hanging="2280" w:start="2640" w:end="0"/>
        <w:rPr>
          <w:b w:val="false"/>
          <w:bCs w:val="false"/>
          <w:i w:val="false"/>
          <w:i w:val="false"/>
          <w:iCs w:val="false"/>
        </w:rPr>
      </w:pPr>
      <w:r>
        <w:rPr/>
        <w:t>Guiding Principle 4:  Encouraging New Ways of Doing Business and Supporting the Search for Alternative Sources of Power</w:t>
      </w:r>
    </w:p>
    <w:p>
      <w:pPr>
        <w:pStyle w:val="BodyText"/>
        <w:ind w:hanging="2280" w:start="2640" w:end="0"/>
        <w:rPr>
          <w:b w:val="false"/>
          <w:bCs w:val="false"/>
          <w:i w:val="false"/>
          <w:i w:val="false"/>
          <w:iCs w:val="false"/>
        </w:rPr>
      </w:pPr>
      <w:r>
        <w:rPr>
          <w:b w:val="false"/>
          <w:bCs w:val="false"/>
          <w:i w:val="false"/>
          <w:iCs w:val="false"/>
        </w:rPr>
      </w:r>
    </w:p>
    <w:p>
      <w:pPr>
        <w:pStyle w:val="BodyText"/>
        <w:numPr>
          <w:ilvl w:val="0"/>
          <w:numId w:val="4"/>
        </w:numPr>
        <w:tabs>
          <w:tab w:val="left" w:pos="720" w:leader="none"/>
        </w:tabs>
        <w:ind w:hanging="360" w:start="720" w:end="0"/>
        <w:rPr>
          <w:b w:val="false"/>
          <w:bCs w:val="false"/>
          <w:i w:val="false"/>
          <w:i w:val="false"/>
          <w:iCs w:val="false"/>
        </w:rPr>
      </w:pPr>
      <w:r>
        <w:rPr>
          <w:b w:val="false"/>
          <w:bCs w:val="false"/>
          <w:i w:val="false"/>
          <w:iCs w:val="false"/>
        </w:rPr>
        <w:t>The prospect of opening the Ontario electricity market to competition has already encouraged and will continue to encourage new ways of doing business in the Ontario electricity sector.  For instance:</w:t>
      </w:r>
    </w:p>
    <w:p>
      <w:pPr>
        <w:pStyle w:val="BodyText"/>
        <w:ind w:start="360" w:end="0"/>
        <w:rPr>
          <w:b w:val="false"/>
          <w:bCs w:val="false"/>
          <w:i w:val="false"/>
          <w:i w:val="false"/>
          <w:iCs w:val="false"/>
        </w:rPr>
      </w:pPr>
      <w:r>
        <w:rPr>
          <w:b w:val="false"/>
          <w:bCs w:val="false"/>
          <w:i w:val="false"/>
          <w:iCs w:val="false"/>
        </w:rPr>
      </w:r>
    </w:p>
    <w:p>
      <w:pPr>
        <w:pStyle w:val="BodyText"/>
        <w:numPr>
          <w:ilvl w:val="0"/>
          <w:numId w:val="3"/>
        </w:numPr>
        <w:rPr>
          <w:b w:val="false"/>
          <w:bCs w:val="false"/>
        </w:rPr>
      </w:pPr>
      <w:r>
        <w:rPr>
          <w:b w:val="false"/>
          <w:bCs w:val="false"/>
        </w:rPr>
        <w:t>Opening the electricity market will provide opportunities to buy and sell power on the internet via on-line trading platforms such as Enron Online;</w:t>
      </w:r>
    </w:p>
    <w:p>
      <w:pPr>
        <w:pStyle w:val="BodyText"/>
        <w:ind w:start="720" w:end="0"/>
        <w:rPr>
          <w:b w:val="false"/>
          <w:bCs w:val="false"/>
        </w:rPr>
      </w:pPr>
      <w:r>
        <w:rPr>
          <w:b w:val="false"/>
          <w:bCs w:val="false"/>
        </w:rPr>
      </w:r>
    </w:p>
    <w:p>
      <w:pPr>
        <w:pStyle w:val="BodyText"/>
        <w:numPr>
          <w:ilvl w:val="0"/>
          <w:numId w:val="3"/>
        </w:numPr>
        <w:rPr>
          <w:b w:val="false"/>
          <w:bCs w:val="false"/>
        </w:rPr>
      </w:pPr>
      <w:r>
        <w:rPr>
          <w:b w:val="false"/>
          <w:bCs w:val="false"/>
        </w:rPr>
        <w:t>The preparation for the new wholesale and retail markets in Ontario has already seen considerable investment in new software systems and related business processes, particularly related to settlement systems and electronic business transactions.  For instance, Enron Canada has developed a new web-based tool that will enable large industrial customers to manage – at low-cost – their settlements with the IMO;</w:t>
      </w:r>
    </w:p>
    <w:p>
      <w:pPr>
        <w:pStyle w:val="BodyText"/>
        <w:rPr>
          <w:b w:val="false"/>
          <w:bCs w:val="false"/>
        </w:rPr>
      </w:pPr>
      <w:r>
        <w:rPr>
          <w:b w:val="false"/>
          <w:bCs w:val="false"/>
        </w:rPr>
      </w:r>
    </w:p>
    <w:p>
      <w:pPr>
        <w:pStyle w:val="BodyText"/>
        <w:ind w:start="720" w:end="0"/>
        <w:rPr>
          <w:b w:val="false"/>
          <w:bCs w:val="false"/>
        </w:rPr>
      </w:pPr>
      <w:r>
        <w:rPr>
          <w:b w:val="false"/>
          <w:bCs w:val="false"/>
        </w:rPr>
      </w:r>
    </w:p>
    <w:p>
      <w:pPr>
        <w:pStyle w:val="BodyText"/>
        <w:ind w:start="720" w:end="0"/>
        <w:rPr>
          <w:b w:val="false"/>
          <w:bCs w:val="false"/>
        </w:rPr>
      </w:pPr>
      <w:r>
        <w:rPr>
          <w:b w:val="false"/>
          <w:bCs w:val="false"/>
        </w:rPr>
      </w:r>
    </w:p>
    <w:p>
      <w:pPr>
        <w:pStyle w:val="BodyText"/>
        <w:ind w:start="720" w:end="0"/>
        <w:rPr>
          <w:b w:val="false"/>
          <w:bCs w:val="false"/>
        </w:rPr>
      </w:pPr>
      <w:r>
        <w:rPr>
          <w:b w:val="false"/>
          <w:bCs w:val="false"/>
        </w:rPr>
      </w:r>
    </w:p>
    <w:p>
      <w:pPr>
        <w:pStyle w:val="BodyText"/>
        <w:rPr>
          <w:b w:val="false"/>
          <w:bCs w:val="false"/>
        </w:rPr>
      </w:pPr>
      <w:r>
        <w:rPr>
          <w:b w:val="false"/>
          <w:bCs w:val="false"/>
        </w:rPr>
      </w:r>
    </w:p>
    <w:p>
      <w:pPr>
        <w:pStyle w:val="BodyText"/>
        <w:numPr>
          <w:ilvl w:val="0"/>
          <w:numId w:val="3"/>
        </w:numPr>
        <w:rPr>
          <w:b w:val="false"/>
          <w:bCs w:val="false"/>
        </w:rPr>
      </w:pPr>
      <w:r>
        <w:rPr>
          <w:b w:val="false"/>
          <w:bCs w:val="false"/>
        </w:rPr>
        <w:t>The restructuring of the distribution sector has created opportunities for distributors to realize significant economies in system operations through outsourcing certain functions (such as settlements) to “service bureaus” such as ENERconnect and other service providers;</w:t>
      </w:r>
    </w:p>
    <w:p>
      <w:pPr>
        <w:pStyle w:val="BodyText"/>
        <w:rPr>
          <w:b w:val="false"/>
          <w:bCs w:val="false"/>
        </w:rPr>
      </w:pPr>
      <w:r>
        <w:rPr>
          <w:b w:val="false"/>
          <w:bCs w:val="false"/>
        </w:rPr>
      </w:r>
    </w:p>
    <w:p>
      <w:pPr>
        <w:pStyle w:val="BodyText"/>
        <w:numPr>
          <w:ilvl w:val="0"/>
          <w:numId w:val="3"/>
        </w:numPr>
        <w:rPr>
          <w:b w:val="false"/>
          <w:bCs w:val="false"/>
        </w:rPr>
      </w:pPr>
      <w:r>
        <w:rPr>
          <w:b w:val="false"/>
          <w:bCs w:val="false"/>
        </w:rPr>
        <w:t>Commercial and industrial customers are already exploring, in advance of market opening, ways in which they can better manage their loads and thereby realize savings in a real time spot-market pricing environment;</w:t>
      </w:r>
    </w:p>
    <w:p>
      <w:pPr>
        <w:pStyle w:val="BodyText"/>
        <w:ind w:start="720" w:end="0"/>
        <w:rPr>
          <w:b w:val="false"/>
          <w:bCs w:val="false"/>
        </w:rPr>
      </w:pPr>
      <w:r>
        <w:rPr>
          <w:b w:val="false"/>
          <w:bCs w:val="false"/>
        </w:rPr>
      </w:r>
    </w:p>
    <w:p>
      <w:pPr>
        <w:pStyle w:val="BodyText"/>
        <w:numPr>
          <w:ilvl w:val="0"/>
          <w:numId w:val="3"/>
        </w:numPr>
        <w:rPr>
          <w:b w:val="false"/>
          <w:bCs w:val="false"/>
        </w:rPr>
      </w:pPr>
      <w:r>
        <w:rPr>
          <w:b w:val="false"/>
          <w:bCs w:val="false"/>
        </w:rPr>
        <w:t>Industrial customers are already looking at ways in which they can manage their loads in order to qualify as “dispatchable loads” under the IMO rules and thereby be in a position to offer operating reserve in the IMO-administered markets; and</w:t>
      </w:r>
    </w:p>
    <w:p>
      <w:pPr>
        <w:pStyle w:val="BodyText"/>
        <w:rPr>
          <w:b w:val="false"/>
          <w:bCs w:val="false"/>
        </w:rPr>
      </w:pPr>
      <w:r>
        <w:rPr>
          <w:b w:val="false"/>
          <w:bCs w:val="false"/>
        </w:rPr>
      </w:r>
    </w:p>
    <w:p>
      <w:pPr>
        <w:pStyle w:val="BodyText"/>
        <w:numPr>
          <w:ilvl w:val="0"/>
          <w:numId w:val="3"/>
        </w:numPr>
        <w:rPr>
          <w:b w:val="false"/>
          <w:bCs w:val="false"/>
        </w:rPr>
      </w:pPr>
      <w:r>
        <w:rPr>
          <w:b w:val="false"/>
          <w:bCs w:val="false"/>
        </w:rPr>
        <w:t>The opening of the market will support the development and refinement of significant Ontario-based expertise in the areas of demand side management, risk management, information management, load profiling, forecasting, metering, emission control devices, and related services.</w:t>
      </w:r>
    </w:p>
    <w:p>
      <w:pPr>
        <w:pStyle w:val="BodyText"/>
        <w:ind w:hanging="2280" w:start="2640" w:end="0"/>
        <w:rPr>
          <w:b w:val="false"/>
          <w:bCs w:val="false"/>
          <w:i w:val="false"/>
          <w:i w:val="false"/>
          <w:iCs w:val="false"/>
        </w:rPr>
      </w:pPr>
      <w:r>
        <w:rPr>
          <w:b w:val="false"/>
          <w:bCs w:val="false"/>
          <w:i w:val="false"/>
          <w:iCs w:val="false"/>
        </w:rPr>
      </w:r>
    </w:p>
    <w:p>
      <w:pPr>
        <w:pStyle w:val="BodyText"/>
        <w:numPr>
          <w:ilvl w:val="1"/>
          <w:numId w:val="3"/>
        </w:numPr>
        <w:tabs>
          <w:tab w:val="left" w:pos="720" w:leader="none"/>
        </w:tabs>
        <w:ind w:hanging="360" w:start="720" w:end="0"/>
        <w:rPr>
          <w:b w:val="false"/>
          <w:bCs w:val="false"/>
          <w:i w:val="false"/>
          <w:i w:val="false"/>
          <w:iCs w:val="false"/>
        </w:rPr>
      </w:pPr>
      <w:r>
        <w:rPr>
          <w:b w:val="false"/>
          <w:bCs w:val="false"/>
          <w:i w:val="false"/>
          <w:iCs w:val="false"/>
        </w:rPr>
        <w:t>Ontario-based entities are already supporting the search for and development of alternative sources of power:</w:t>
      </w:r>
    </w:p>
    <w:p>
      <w:pPr>
        <w:pStyle w:val="BodyText"/>
        <w:ind w:start="360" w:end="0"/>
        <w:rPr>
          <w:b w:val="false"/>
          <w:bCs w:val="false"/>
          <w:i w:val="false"/>
          <w:i w:val="false"/>
          <w:iCs w:val="false"/>
        </w:rPr>
      </w:pPr>
      <w:r>
        <w:rPr>
          <w:b w:val="false"/>
          <w:bCs w:val="false"/>
          <w:i w:val="false"/>
          <w:iCs w:val="false"/>
        </w:rPr>
      </w:r>
    </w:p>
    <w:p>
      <w:pPr>
        <w:pStyle w:val="BodyText"/>
        <w:numPr>
          <w:ilvl w:val="0"/>
          <w:numId w:val="11"/>
        </w:numPr>
        <w:rPr>
          <w:b w:val="false"/>
          <w:bCs w:val="false"/>
        </w:rPr>
      </w:pPr>
      <w:r>
        <w:rPr>
          <w:b w:val="false"/>
          <w:bCs w:val="false"/>
        </w:rPr>
        <w:t>OPG has announced plans to expand its green energy portfolio, through Evergreen Energy, to 500MW;</w:t>
      </w:r>
    </w:p>
    <w:p>
      <w:pPr>
        <w:pStyle w:val="BodyText"/>
        <w:ind w:start="720" w:end="0"/>
        <w:rPr>
          <w:b w:val="false"/>
          <w:bCs w:val="false"/>
        </w:rPr>
      </w:pPr>
      <w:r>
        <w:rPr>
          <w:b w:val="false"/>
          <w:bCs w:val="false"/>
        </w:rPr>
      </w:r>
    </w:p>
    <w:p>
      <w:pPr>
        <w:pStyle w:val="BodyText"/>
        <w:numPr>
          <w:ilvl w:val="0"/>
          <w:numId w:val="11"/>
        </w:numPr>
        <w:rPr>
          <w:b w:val="false"/>
          <w:bCs w:val="false"/>
        </w:rPr>
      </w:pPr>
      <w:r>
        <w:rPr>
          <w:b w:val="false"/>
          <w:bCs w:val="false"/>
        </w:rPr>
        <w:t>A partnership of British Energy Canada and OPG have announced the development of a 10MW wind energy farm adjacent to the Bruce nuclear site;</w:t>
      </w:r>
    </w:p>
    <w:p>
      <w:pPr>
        <w:pStyle w:val="BodyText"/>
        <w:rPr>
          <w:b w:val="false"/>
          <w:bCs w:val="false"/>
        </w:rPr>
      </w:pPr>
      <w:r>
        <w:rPr>
          <w:b w:val="false"/>
          <w:bCs w:val="false"/>
        </w:rPr>
      </w:r>
    </w:p>
    <w:p>
      <w:pPr>
        <w:pStyle w:val="BodyText"/>
        <w:numPr>
          <w:ilvl w:val="0"/>
          <w:numId w:val="11"/>
        </w:numPr>
        <w:rPr>
          <w:b w:val="false"/>
          <w:bCs w:val="false"/>
        </w:rPr>
      </w:pPr>
      <w:r>
        <w:rPr>
          <w:b w:val="false"/>
          <w:bCs w:val="false"/>
        </w:rPr>
        <w:t>Toronto Hydro Energy Services is moving forward with its plan to develop a wind energy project on the Toronto waterfront; and</w:t>
      </w:r>
    </w:p>
    <w:p>
      <w:pPr>
        <w:pStyle w:val="BodyText"/>
        <w:rPr>
          <w:b w:val="false"/>
          <w:bCs w:val="false"/>
        </w:rPr>
      </w:pPr>
      <w:r>
        <w:rPr>
          <w:b w:val="false"/>
          <w:bCs w:val="false"/>
        </w:rPr>
      </w:r>
    </w:p>
    <w:p>
      <w:pPr>
        <w:pStyle w:val="BodyText"/>
        <w:numPr>
          <w:ilvl w:val="0"/>
          <w:numId w:val="11"/>
        </w:numPr>
        <w:rPr>
          <w:b w:val="false"/>
          <w:bCs w:val="false"/>
        </w:rPr>
      </w:pPr>
      <w:r>
        <w:rPr>
          <w:b w:val="false"/>
          <w:bCs w:val="false"/>
        </w:rPr>
        <w:t>The Canadian Renewable Energy Corporation (CREC), based in Mississauga, has already planned investments of $20 million in the 2001/2002 time frame.</w:t>
      </w:r>
    </w:p>
    <w:p>
      <w:pPr>
        <w:pStyle w:val="BodyText"/>
        <w:rPr>
          <w:b w:val="false"/>
          <w:bCs w:val="false"/>
        </w:rPr>
      </w:pPr>
      <w:r>
        <w:rPr>
          <w:b w:val="false"/>
          <w:bCs w:val="false"/>
        </w:rPr>
      </w:r>
    </w:p>
    <w:p>
      <w:pPr>
        <w:pStyle w:val="BodyText"/>
        <w:numPr>
          <w:ilvl w:val="1"/>
          <w:numId w:val="11"/>
        </w:numPr>
        <w:tabs>
          <w:tab w:val="left" w:pos="720" w:leader="none"/>
        </w:tabs>
        <w:ind w:hanging="360" w:start="720" w:end="0"/>
        <w:rPr>
          <w:b w:val="false"/>
          <w:bCs w:val="false"/>
          <w:i w:val="false"/>
          <w:i w:val="false"/>
          <w:iCs w:val="false"/>
        </w:rPr>
      </w:pPr>
      <w:r>
        <w:rPr>
          <w:b w:val="false"/>
          <w:bCs w:val="false"/>
          <w:i w:val="false"/>
          <w:iCs w:val="false"/>
        </w:rPr>
        <w:t>Ontario policy makers should have confidence that opening the Ontario market will yield even further innovation and investment in the Ontario renewable sector.</w:t>
      </w:r>
    </w:p>
    <w:p>
      <w:pPr>
        <w:pStyle w:val="BodyText"/>
        <w:ind w:hanging="2280" w:start="2640" w:end="0"/>
        <w:rPr>
          <w:b w:val="false"/>
          <w:bCs w:val="false"/>
          <w:i w:val="false"/>
          <w:i w:val="false"/>
          <w:iCs w:val="false"/>
        </w:rPr>
      </w:pPr>
      <w:r>
        <w:rPr>
          <w:b w:val="false"/>
          <w:bCs w:val="false"/>
          <w:i w:val="false"/>
          <w:iCs w:val="false"/>
        </w:rPr>
      </w:r>
    </w:p>
    <w:p>
      <w:pPr>
        <w:pStyle w:val="BodyText"/>
        <w:ind w:hanging="2280" w:start="2640" w:end="0"/>
        <w:rPr>
          <w:b w:val="false"/>
          <w:bCs w:val="false"/>
          <w:i w:val="false"/>
          <w:i w:val="false"/>
          <w:iCs w:val="false"/>
        </w:rPr>
      </w:pPr>
      <w:r>
        <w:rPr>
          <w:b w:val="false"/>
          <w:bCs w:val="false"/>
          <w:i w:val="false"/>
          <w:iCs w:val="false"/>
        </w:rPr>
      </w:r>
    </w:p>
    <w:p>
      <w:pPr>
        <w:pStyle w:val="BodyText"/>
        <w:ind w:hanging="2280" w:start="2640" w:end="0"/>
        <w:rPr>
          <w:b w:val="false"/>
          <w:bCs w:val="false"/>
          <w:i w:val="false"/>
          <w:i w:val="false"/>
          <w:iCs w:val="false"/>
        </w:rPr>
      </w:pPr>
      <w:r>
        <w:rPr>
          <w:b w:val="false"/>
          <w:bCs w:val="false"/>
          <w:i w:val="false"/>
          <w:iCs w:val="false"/>
        </w:rPr>
      </w:r>
    </w:p>
    <w:p>
      <w:pPr>
        <w:pStyle w:val="BodyText"/>
        <w:ind w:firstLine="5760" w:end="0"/>
        <w:jc w:val="end"/>
        <w:rPr>
          <w:b w:val="false"/>
          <w:bCs w:val="false"/>
          <w:i w:val="false"/>
          <w:i w:val="false"/>
          <w:iCs w:val="false"/>
        </w:rPr>
      </w:pPr>
      <w:r>
        <w:rPr>
          <w:b w:val="false"/>
          <w:bCs w:val="false"/>
          <w:i w:val="false"/>
          <w:iCs w:val="false"/>
        </w:rPr>
        <w:t>Aleck Dadson</w:t>
      </w:r>
    </w:p>
    <w:p>
      <w:pPr>
        <w:pStyle w:val="BodyText"/>
        <w:ind w:firstLine="5760" w:end="0"/>
        <w:jc w:val="end"/>
        <w:rPr>
          <w:b w:val="false"/>
          <w:bCs w:val="false"/>
          <w:i w:val="false"/>
          <w:i w:val="false"/>
          <w:iCs w:val="false"/>
        </w:rPr>
      </w:pPr>
      <w:r>
        <w:rPr>
          <w:b w:val="false"/>
          <w:bCs w:val="false"/>
          <w:i w:val="false"/>
          <w:iCs w:val="false"/>
        </w:rPr>
        <w:t>Senior Director, Government Affairs</w:t>
      </w:r>
    </w:p>
    <w:p>
      <w:pPr>
        <w:pStyle w:val="BodyText"/>
        <w:ind w:firstLine="5760" w:end="0"/>
        <w:jc w:val="end"/>
        <w:rPr>
          <w:b w:val="false"/>
          <w:bCs w:val="false"/>
          <w:i w:val="false"/>
          <w:i w:val="false"/>
          <w:iCs w:val="false"/>
        </w:rPr>
      </w:pPr>
      <w:r>
        <w:rPr>
          <w:b w:val="false"/>
          <w:bCs w:val="false"/>
          <w:i w:val="false"/>
          <w:iCs w:val="false"/>
        </w:rPr>
        <w:t>Enron Canada Corp.</w:t>
      </w:r>
    </w:p>
    <w:p>
      <w:pPr>
        <w:pStyle w:val="BodyText"/>
        <w:ind w:firstLine="5760" w:end="0"/>
        <w:jc w:val="end"/>
        <w:rPr>
          <w:b w:val="false"/>
          <w:bCs w:val="false"/>
          <w:i w:val="false"/>
          <w:i w:val="false"/>
          <w:iCs w:val="false"/>
        </w:rPr>
      </w:pPr>
      <w:r>
        <w:rPr>
          <w:b w:val="false"/>
          <w:bCs w:val="false"/>
          <w:i w:val="false"/>
          <w:iCs w:val="false"/>
        </w:rPr>
        <w:t>Suite 100</w:t>
      </w:r>
    </w:p>
    <w:p>
      <w:pPr>
        <w:pStyle w:val="BodyText"/>
        <w:ind w:firstLine="5760" w:end="0"/>
        <w:jc w:val="end"/>
        <w:rPr>
          <w:b w:val="false"/>
          <w:bCs w:val="false"/>
          <w:i w:val="false"/>
          <w:i w:val="false"/>
          <w:iCs w:val="false"/>
        </w:rPr>
      </w:pPr>
      <w:r>
        <w:rPr>
          <w:b w:val="false"/>
          <w:bCs w:val="false"/>
          <w:i w:val="false"/>
          <w:iCs w:val="false"/>
        </w:rPr>
        <w:t>70 York Street</w:t>
      </w:r>
    </w:p>
    <w:p>
      <w:pPr>
        <w:pStyle w:val="BodyText"/>
        <w:ind w:firstLine="5760" w:end="0"/>
        <w:jc w:val="end"/>
        <w:rPr>
          <w:b w:val="false"/>
          <w:bCs w:val="false"/>
          <w:i w:val="false"/>
          <w:i w:val="false"/>
          <w:iCs w:val="false"/>
        </w:rPr>
      </w:pPr>
      <w:r>
        <w:rPr>
          <w:b w:val="false"/>
          <w:bCs w:val="false"/>
          <w:i w:val="false"/>
          <w:iCs w:val="false"/>
        </w:rPr>
        <w:t>Toronto, ON</w:t>
        <w:tab/>
        <w:t>M5J 1S9</w:t>
      </w:r>
    </w:p>
    <w:p>
      <w:pPr>
        <w:pStyle w:val="BodyText"/>
        <w:ind w:firstLine="5760" w:end="0"/>
        <w:jc w:val="end"/>
        <w:rPr>
          <w:b w:val="false"/>
          <w:bCs w:val="false"/>
          <w:i w:val="false"/>
          <w:i w:val="false"/>
          <w:iCs w:val="false"/>
        </w:rPr>
      </w:pPr>
      <w:r>
        <w:rPr>
          <w:b w:val="false"/>
          <w:bCs w:val="false"/>
          <w:i w:val="false"/>
          <w:iCs w:val="false"/>
        </w:rPr>
        <w:t>Direct Dial:  416 865 3707</w:t>
      </w:r>
    </w:p>
    <w:p>
      <w:pPr>
        <w:pStyle w:val="BodyText"/>
        <w:ind w:firstLine="5760" w:end="0"/>
        <w:jc w:val="end"/>
        <w:rPr>
          <w:b w:val="false"/>
          <w:bCs w:val="false"/>
          <w:i w:val="false"/>
          <w:i w:val="false"/>
          <w:iCs w:val="false"/>
        </w:rPr>
      </w:pPr>
      <w:r>
        <w:rPr>
          <w:b w:val="false"/>
          <w:bCs w:val="false"/>
          <w:i w:val="false"/>
          <w:iCs w:val="false"/>
        </w:rPr>
        <w:t>Assistant: 416 865 3718 (Lisa Assaf)</w:t>
      </w:r>
    </w:p>
    <w:p>
      <w:pPr>
        <w:pStyle w:val="BodyText"/>
        <w:ind w:firstLine="5760" w:end="0"/>
        <w:jc w:val="end"/>
        <w:rPr>
          <w:b w:val="false"/>
          <w:bCs w:val="false"/>
          <w:i w:val="false"/>
          <w:i w:val="false"/>
          <w:iCs w:val="false"/>
        </w:rPr>
      </w:pPr>
      <w:r>
        <w:rPr>
          <w:b w:val="false"/>
          <w:bCs w:val="false"/>
          <w:i w:val="false"/>
          <w:iCs w:val="false"/>
        </w:rPr>
        <w:t>Fax: 416 865 3766</w:t>
      </w:r>
    </w:p>
    <w:p>
      <w:pPr>
        <w:pStyle w:val="BodyText"/>
        <w:ind w:firstLine="5760" w:end="0"/>
        <w:jc w:val="end"/>
        <w:rPr/>
      </w:pPr>
      <w:r>
        <w:rPr>
          <w:b w:val="false"/>
          <w:bCs w:val="false"/>
          <w:i w:val="false"/>
          <w:iCs w:val="false"/>
        </w:rPr>
        <w:t xml:space="preserve">e-mail: </w:t>
      </w:r>
      <w:hyperlink r:id="rId2">
        <w:r>
          <w:rPr>
            <w:rStyle w:val="Hyperlink"/>
          </w:rPr>
          <w:t>aleck.dadson@enron.com</w:t>
        </w:r>
      </w:hyperlink>
      <w:r>
        <w:rPr>
          <w:b w:val="false"/>
          <w:bCs w:val="false"/>
          <w:i w:val="false"/>
          <w:iCs w:val="false"/>
        </w:rPr>
        <w:t xml:space="preserve"> </w:t>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sz w:val="20"/>
        <w:lang w:val="en-CA" w:eastAsia="en-CA"/>
      </w:rPr>
    </w:pPr>
    <w:r>
      <w:rPr>
        <w:sz w:val="20"/>
        <w:lang w:val="en-CA" w:eastAsia="en-CA"/>
      </w:rPr>
      <w:drawing>
        <wp:anchor behindDoc="1" distT="0" distB="0" distL="114935" distR="114935" simplePos="0" locked="0" layoutInCell="1" allowOverlap="1" relativeHeight="10">
          <wp:simplePos x="0" y="0"/>
          <wp:positionH relativeFrom="column">
            <wp:posOffset>-381000</wp:posOffset>
          </wp:positionH>
          <wp:positionV relativeFrom="paragraph">
            <wp:posOffset>-76200</wp:posOffset>
          </wp:positionV>
          <wp:extent cx="914400" cy="914400"/>
          <wp:effectExtent l="0" t="0" r="0" b="0"/>
          <wp:wrapNone/>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39" t="-39" r="-39" b="-39"/>
                  <a:stretch>
                    <a:fillRect/>
                  </a:stretch>
                </pic:blipFill>
                <pic:spPr bwMode="auto">
                  <a:xfrm>
                    <a:off x="0" y="0"/>
                    <a:ext cx="914400" cy="914400"/>
                  </a:xfrm>
                  <a:prstGeom prst="rect">
                    <a:avLst/>
                  </a:prstGeom>
                  <a:noFill/>
                </pic:spPr>
              </pic:pic>
            </a:graphicData>
          </a:graphic>
        </wp:anchor>
      </w:drawing>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val="en-CA" w:eastAsia="en-CA"/>
      </w:rPr>
    </w:pPr>
    <w:r>
      <w:rPr>
        <w:sz w:val="20"/>
        <w:lang w:val="en-CA" w:eastAsia="en-CA"/>
      </w:rPr>
      <w:drawing>
        <wp:anchor behindDoc="1" distT="0" distB="0" distL="114935" distR="114935" simplePos="0" locked="0" layoutInCell="1" allowOverlap="1" relativeHeight="6">
          <wp:simplePos x="0" y="0"/>
          <wp:positionH relativeFrom="column">
            <wp:posOffset>-533400</wp:posOffset>
          </wp:positionH>
          <wp:positionV relativeFrom="paragraph">
            <wp:posOffset>-228600</wp:posOffset>
          </wp:positionV>
          <wp:extent cx="914400" cy="914400"/>
          <wp:effectExtent l="0" t="0" r="0" b="0"/>
          <wp:wrapNone/>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39" t="-39" r="-39" b="-39"/>
                  <a:stretch>
                    <a:fillRect/>
                  </a:stretch>
                </pic:blipFill>
                <pic:spPr bwMode="auto">
                  <a:xfrm>
                    <a:off x="0" y="0"/>
                    <a:ext cx="914400" cy="91440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lvl w:ilvl="1">
      <w:start w:val="1"/>
      <w:numFmt w:val="bullet"/>
      <w:lvlText w:val=""/>
      <w:lvlJc w:val="start"/>
      <w:pPr>
        <w:tabs>
          <w:tab w:val="num" w:pos="1800"/>
        </w:tabs>
        <w:ind w:start="1800" w:hanging="360"/>
      </w:pPr>
      <w:rPr>
        <w:rFonts w:ascii="Symbol" w:hAnsi="Symbol" w:cs="Symbol" w:hint="default"/>
        <w:color w:val="000000"/>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decimal"/>
      <w:lvlText w:val="%1."/>
      <w:lvlJc w:val="start"/>
      <w:pPr>
        <w:tabs>
          <w:tab w:val="num" w:pos="1080"/>
        </w:tabs>
        <w:ind w:start="1080" w:hanging="360"/>
      </w:pPr>
      <w:rPr/>
    </w:lvl>
    <w:lvl w:ilvl="1">
      <w:start w:val="1"/>
      <w:numFmt w:val="bullet"/>
      <w:lvlText w:val=""/>
      <w:lvlJc w:val="start"/>
      <w:pPr>
        <w:tabs>
          <w:tab w:val="num" w:pos="1800"/>
        </w:tabs>
        <w:ind w:start="1800" w:hanging="360"/>
      </w:pPr>
      <w:rPr>
        <w:rFonts w:ascii="Symbol" w:hAnsi="Symbol" w:cs="Symbol" w:hint="default"/>
        <w:color w:val="000000"/>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bullet"/>
      <w:lvlText w:val=""/>
      <w:lvlJc w:val="start"/>
      <w:pPr>
        <w:tabs>
          <w:tab w:val="num" w:pos="1080"/>
        </w:tabs>
        <w:ind w:start="1080" w:hanging="360"/>
      </w:pPr>
      <w:rPr>
        <w:rFonts w:ascii="Symbol" w:hAnsi="Symbol" w:cs="Symbol" w:hint="default"/>
        <w:color w:val="000000"/>
      </w:rPr>
    </w:lvl>
  </w:abstractNum>
  <w:abstractNum w:abstractNumId="5">
    <w:lvl w:ilvl="0">
      <w:start w:val="1"/>
      <w:numFmt w:val="bullet"/>
      <w:lvlText w:val=""/>
      <w:lvlJc w:val="start"/>
      <w:pPr>
        <w:tabs>
          <w:tab w:val="num" w:pos="720"/>
        </w:tabs>
        <w:ind w:start="720" w:hanging="360"/>
      </w:pPr>
      <w:rPr>
        <w:rFonts w:ascii="Symbol" w:hAnsi="Symbol" w:cs="Symbol" w:hint="default"/>
        <w:color w:val="000000"/>
      </w:rPr>
    </w:lvl>
    <w:lvl w:ilvl="1">
      <w:start w:val="1"/>
      <w:numFmt w:val="decimal"/>
      <w:lvlText w:val="%2."/>
      <w:lvlJc w:val="start"/>
      <w:pPr>
        <w:tabs>
          <w:tab w:val="num" w:pos="720"/>
        </w:tabs>
        <w:ind w:start="1440" w:hanging="360"/>
      </w:pPr>
    </w:lvl>
    <w:lvl w:ilvl="2">
      <w:start w:val="1"/>
      <w:numFmt w:val="bullet"/>
      <w:lvlText w:val=""/>
      <w:lvlJc w:val="start"/>
      <w:pPr>
        <w:tabs>
          <w:tab w:val="num" w:pos="2160"/>
        </w:tabs>
        <w:ind w:start="2160" w:hanging="360"/>
      </w:pPr>
      <w:rPr>
        <w:rFonts w:ascii="Symbol" w:hAnsi="Symbol" w:cs="Symbol" w:hint="default"/>
        <w:color w:val="000000"/>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color w:val="000000"/>
      </w:rPr>
    </w:lvl>
  </w:abstractNum>
  <w:abstractNum w:abstractNumId="7">
    <w:lvl w:ilvl="0">
      <w:start w:val="1"/>
      <w:numFmt w:val="decimal"/>
      <w:lvlText w:val="%1."/>
      <w:lvlJc w:val="start"/>
      <w:pPr>
        <w:tabs>
          <w:tab w:val="num" w:pos="1440"/>
        </w:tabs>
        <w:ind w:start="1440" w:hanging="720"/>
      </w:pPr>
      <w:rPr/>
    </w:lvl>
  </w:abstractNum>
  <w:abstractNum w:abstractNumId="8">
    <w:lvl w:ilvl="0">
      <w:start w:val="1"/>
      <w:numFmt w:val="bullet"/>
      <w:lvlText w:val=""/>
      <w:lvlJc w:val="start"/>
      <w:pPr>
        <w:tabs>
          <w:tab w:val="num" w:pos="720"/>
        </w:tabs>
        <w:ind w:start="720" w:hanging="360"/>
      </w:pPr>
      <w:rPr>
        <w:rFonts w:ascii="Symbol" w:hAnsi="Symbol" w:cs="Symbol" w:hint="default"/>
        <w:color w:val="000000"/>
      </w:rPr>
    </w:lvl>
  </w:abstractNum>
  <w:abstractNum w:abstractNumId="9">
    <w:lvl w:ilvl="0">
      <w:start w:val="1"/>
      <w:numFmt w:val="bullet"/>
      <w:lvlText w:val=""/>
      <w:lvlJc w:val="start"/>
      <w:pPr>
        <w:tabs>
          <w:tab w:val="num" w:pos="720"/>
        </w:tabs>
        <w:ind w:start="720" w:hanging="360"/>
      </w:pPr>
      <w:rPr>
        <w:rFonts w:ascii="Symbol" w:hAnsi="Symbol" w:cs="Symbol" w:hint="default"/>
        <w:color w:val="000000"/>
      </w:rPr>
    </w:lvl>
  </w:abstractNum>
  <w:abstractNum w:abstractNumId="10">
    <w:lvl w:ilvl="0">
      <w:start w:val="1"/>
      <w:numFmt w:val="bullet"/>
      <w:lvlText w:val=""/>
      <w:lvlJc w:val="start"/>
      <w:pPr>
        <w:tabs>
          <w:tab w:val="num" w:pos="720"/>
        </w:tabs>
        <w:ind w:start="720" w:hanging="360"/>
      </w:pPr>
      <w:rPr>
        <w:rFonts w:ascii="Symbol" w:hAnsi="Symbol" w:cs="Symbol" w:hint="default"/>
        <w:color w:val="000000"/>
      </w:rPr>
    </w:lvl>
  </w:abstractNum>
  <w:abstractNum w:abstractNumId="11">
    <w:lvl w:ilvl="0">
      <w:start w:val="1"/>
      <w:numFmt w:val="decimal"/>
      <w:lvlText w:val="%1."/>
      <w:lvlJc w:val="start"/>
      <w:pPr>
        <w:tabs>
          <w:tab w:val="num" w:pos="1080"/>
        </w:tabs>
        <w:ind w:start="1080" w:hanging="360"/>
      </w:pPr>
      <w:rPr/>
    </w:lvl>
    <w:lvl w:ilvl="1">
      <w:start w:val="1"/>
      <w:numFmt w:val="bullet"/>
      <w:lvlText w:val=""/>
      <w:lvlJc w:val="start"/>
      <w:pPr>
        <w:tabs>
          <w:tab w:val="num" w:pos="1800"/>
        </w:tabs>
        <w:ind w:start="1800" w:hanging="360"/>
      </w:pPr>
      <w:rPr>
        <w:rFonts w:ascii="Symbol" w:hAnsi="Symbol" w:cs="Symbol" w:hint="default"/>
        <w:color w:val="000000"/>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12">
    <w:lvl w:ilvl="0">
      <w:start w:val="1"/>
      <w:numFmt w:val="decimal"/>
      <w:lvlText w:val="%1."/>
      <w:lvlJc w:val="start"/>
      <w:pPr>
        <w:tabs>
          <w:tab w:val="num" w:pos="1440"/>
        </w:tabs>
        <w:ind w:start="1440" w:hanging="720"/>
      </w:pPr>
      <w:rPr/>
    </w:lvl>
    <w:lvl w:ilvl="1">
      <w:start w:val="1"/>
      <w:numFmt w:val="bullet"/>
      <w:lvlText w:val=""/>
      <w:lvlJc w:val="start"/>
      <w:pPr>
        <w:tabs>
          <w:tab w:val="num" w:pos="1800"/>
        </w:tabs>
        <w:ind w:start="1800" w:hanging="360"/>
      </w:pPr>
      <w:rPr>
        <w:rFonts w:ascii="Symbol" w:hAnsi="Symbol" w:cs="Symbol" w:hint="default"/>
        <w:color w:val="000000"/>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sz w:val="22"/>
    </w:rPr>
  </w:style>
  <w:style w:type="paragraph" w:styleId="Heading2">
    <w:name w:val="heading 2"/>
    <w:basedOn w:val="Normal"/>
    <w:next w:val="Normal"/>
    <w:qFormat/>
    <w:pPr>
      <w:keepNext w:val="true"/>
      <w:numPr>
        <w:ilvl w:val="1"/>
        <w:numId w:val="1"/>
      </w:numPr>
      <w:jc w:val="both"/>
      <w:outlineLvl w:val="1"/>
    </w:pPr>
    <w:rPr>
      <w:rFonts w:ascii="Arial" w:hAnsi="Arial" w:cs="Arial"/>
      <w:b/>
      <w:bCs/>
      <w:i/>
      <w:iCs/>
      <w:sz w:val="22"/>
    </w:rPr>
  </w:style>
  <w:style w:type="character" w:styleId="WW8Num1z0">
    <w:name w:val="WW8Num1z0"/>
    <w:qFormat/>
    <w:rPr/>
  </w:style>
  <w:style w:type="character" w:styleId="WW8Num1z1">
    <w:name w:val="WW8Num1z1"/>
    <w:qFormat/>
    <w:rPr>
      <w:rFonts w:ascii="Symbol" w:hAnsi="Symbol" w:cs="Symbol"/>
      <w:color w:val="000000"/>
    </w:rPr>
  </w:style>
  <w:style w:type="character" w:styleId="WW8Num2z0">
    <w:name w:val="WW8Num2z0"/>
    <w:qFormat/>
    <w:rPr/>
  </w:style>
  <w:style w:type="character" w:styleId="WW8Num2z1">
    <w:name w:val="WW8Num2z1"/>
    <w:qFormat/>
    <w:rPr>
      <w:rFonts w:ascii="Symbol" w:hAnsi="Symbol" w:cs="Symbol"/>
      <w:color w:val="000000"/>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5z5">
    <w:name w:val="WW8Num5z5"/>
    <w:qFormat/>
    <w:rPr>
      <w:rFonts w:ascii="Wingdings" w:hAnsi="Wingdings" w:cs="Wingdings"/>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color w:val="00000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2z1">
    <w:name w:val="WW8Num12z1"/>
    <w:qFormat/>
    <w:rPr>
      <w:rFonts w:ascii="Symbol" w:hAnsi="Symbol" w:cs="Symbol"/>
      <w:color w:val="000000"/>
    </w:rPr>
  </w:style>
  <w:style w:type="character" w:styleId="WW8Num13z0">
    <w:name w:val="WW8Num13z0"/>
    <w:qFormat/>
    <w:rPr/>
  </w:style>
  <w:style w:type="character" w:styleId="WW8Num13z1">
    <w:name w:val="WW8Num13z1"/>
    <w:qFormat/>
    <w:rPr>
      <w:rFonts w:ascii="Symbol" w:hAnsi="Symbol" w:cs="Symbol"/>
      <w:color w:val="00000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b/>
      <w:bCs/>
      <w:i/>
      <w:i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leck.dadson@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2001-05-08T18:01:00Z</dcterms:created>
  <dc:creator>lassaf</dc:creator>
  <dc:description/>
  <dc:language>en-CA</dc:language>
  <cp:lastModifiedBy>lassaf</cp:lastModifiedBy>
  <cp:lastPrinted>2001-06-01T13:51:00Z</cp:lastPrinted>
  <dcterms:modified xsi:type="dcterms:W3CDTF">2001-06-01T15:21:00Z</dcterms:modified>
  <cp:revision>58</cp:revision>
  <dc:subject/>
  <dc:title/>
</cp:coreProperties>
</file>