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Privileged and Confidential</w:t>
      </w:r>
    </w:p>
    <w:p>
      <w:pPr>
        <w:pStyle w:val="Normal"/>
        <w:rPr>
          <w:i/>
          <w:i/>
          <w:iCs/>
        </w:rPr>
      </w:pPr>
      <w:r>
        <w:rPr>
          <w:i/>
          <w:iCs/>
        </w:rPr>
        <w:t>Attorney-Client Privilege</w:t>
      </w:r>
    </w:p>
    <w:p>
      <w:pPr>
        <w:pStyle w:val="Normal"/>
        <w:rPr>
          <w:i/>
          <w:i/>
          <w:iCs/>
        </w:rPr>
      </w:pPr>
      <w:r>
        <w:rPr>
          <w:i/>
          <w:iCs/>
        </w:rPr>
      </w:r>
    </w:p>
    <w:p>
      <w:pPr>
        <w:pStyle w:val="Heading2"/>
        <w:ind w:hanging="0" w:start="0"/>
        <w:rPr/>
      </w:pPr>
      <w:r>
        <w:rPr/>
        <w:t xml:space="preserve">                                           </w:t>
      </w:r>
      <w:r>
        <w:rPr/>
        <w:tab/>
        <w:t>Memorandum</w:t>
      </w:r>
    </w:p>
    <w:p>
      <w:pPr>
        <w:pStyle w:val="Normal"/>
        <w:rPr/>
      </w:pPr>
      <w:r>
        <w:rPr/>
      </w:r>
    </w:p>
    <w:p>
      <w:pPr>
        <w:pStyle w:val="Normal"/>
        <w:rPr/>
      </w:pPr>
      <w:r>
        <w:rPr/>
        <w:t>To:  Sarah Novasel</w:t>
      </w:r>
    </w:p>
    <w:p>
      <w:pPr>
        <w:pStyle w:val="Normal"/>
        <w:rPr/>
      </w:pPr>
      <w:r>
        <w:rPr/>
        <w:t>From: Sam Behrends</w:t>
      </w:r>
    </w:p>
    <w:p>
      <w:pPr>
        <w:pStyle w:val="Normal"/>
        <w:rPr/>
      </w:pPr>
      <w:r>
        <w:rPr/>
        <w:t>Re: Filing Strategy Regarding Attached Memo</w:t>
      </w:r>
    </w:p>
    <w:p>
      <w:pPr>
        <w:pStyle w:val="Normal"/>
        <w:rPr/>
      </w:pPr>
      <w:r>
        <w:rPr/>
      </w:r>
    </w:p>
    <w:p>
      <w:pPr>
        <w:pStyle w:val="Normal"/>
        <w:rPr/>
      </w:pPr>
      <w:r>
        <w:rPr/>
        <w:t xml:space="preserve">     </w:t>
      </w:r>
      <w:r>
        <w:rPr/>
        <w:t xml:space="preserve">A draft of the Request for an Order to Show Cause is attached.  However, I do have some pretty fundamental suggestions, regarding strategy.  </w:t>
      </w:r>
      <w:r>
        <w:rPr>
          <w:iCs/>
        </w:rPr>
        <w:t xml:space="preserve">I’ve summed these up briefly below.  </w:t>
      </w:r>
    </w:p>
    <w:p>
      <w:pPr>
        <w:pStyle w:val="Normal"/>
        <w:rPr>
          <w:iCs/>
        </w:rPr>
      </w:pPr>
      <w:r>
        <w:rPr>
          <w:iCs/>
        </w:rPr>
      </w:r>
    </w:p>
    <w:p>
      <w:pPr>
        <w:pStyle w:val="Normal"/>
        <w:rPr>
          <w:iCs/>
        </w:rPr>
      </w:pPr>
      <w:r>
        <w:rPr>
          <w:iCs/>
        </w:rPr>
        <w:t xml:space="preserve">      </w:t>
      </w:r>
      <w:r>
        <w:rPr>
          <w:iCs/>
        </w:rPr>
        <w:t>Most importantly, I think the filing should be broken up into three separate filings.  We can do that in a day.  As follows:</w:t>
      </w:r>
    </w:p>
    <w:p>
      <w:pPr>
        <w:pStyle w:val="Normal"/>
        <w:rPr>
          <w:iCs/>
        </w:rPr>
      </w:pPr>
      <w:r>
        <w:rPr>
          <w:iCs/>
        </w:rPr>
      </w:r>
    </w:p>
    <w:p>
      <w:pPr>
        <w:pStyle w:val="Normal"/>
        <w:rPr>
          <w:iCs/>
        </w:rPr>
      </w:pPr>
      <w:r>
        <w:rPr>
          <w:iCs/>
        </w:rPr>
        <w:t xml:space="preserve">          ▪ </w:t>
      </w:r>
      <w:r>
        <w:rPr>
          <w:iCs/>
        </w:rPr>
        <w:t>One filing should attack those companies which are currently involved in</w:t>
      </w:r>
    </w:p>
    <w:p>
      <w:pPr>
        <w:pStyle w:val="Normal"/>
        <w:rPr>
          <w:iCs/>
        </w:rPr>
      </w:pPr>
      <w:r>
        <w:rPr>
          <w:iCs/>
        </w:rPr>
        <w:t xml:space="preserve">     </w:t>
      </w:r>
      <w:r>
        <w:rPr>
          <w:iCs/>
        </w:rPr>
        <w:t xml:space="preserve">the RTO mediations, but whose commitments to join are shams or evasive.   This </w:t>
      </w:r>
    </w:p>
    <w:p>
      <w:pPr>
        <w:pStyle w:val="Normal"/>
        <w:rPr>
          <w:iCs/>
        </w:rPr>
      </w:pPr>
      <w:r>
        <w:rPr>
          <w:iCs/>
        </w:rPr>
        <w:t xml:space="preserve">     </w:t>
      </w:r>
      <w:r>
        <w:rPr>
          <w:iCs/>
        </w:rPr>
        <w:t>should call attention to the problems we’ve discussed.</w:t>
      </w:r>
    </w:p>
    <w:p>
      <w:pPr>
        <w:pStyle w:val="Normal"/>
        <w:rPr>
          <w:iCs/>
        </w:rPr>
      </w:pPr>
      <w:r>
        <w:rPr>
          <w:iCs/>
        </w:rPr>
      </w:r>
    </w:p>
    <w:p>
      <w:pPr>
        <w:pStyle w:val="Normal"/>
        <w:rPr/>
      </w:pPr>
      <w:r>
        <w:rPr>
          <w:iCs/>
        </w:rPr>
        <w:t xml:space="preserve">           ▪ </w:t>
      </w:r>
      <w:r>
        <w:rPr>
          <w:iCs/>
        </w:rPr>
        <w:t xml:space="preserve">A second filing should attack those companies which have not yet committed </w:t>
      </w:r>
    </w:p>
    <w:p>
      <w:pPr>
        <w:pStyle w:val="Normal"/>
        <w:rPr>
          <w:iCs/>
        </w:rPr>
      </w:pPr>
      <w:r>
        <w:rPr>
          <w:iCs/>
        </w:rPr>
        <w:t xml:space="preserve">     </w:t>
      </w:r>
      <w:r>
        <w:rPr>
          <w:iCs/>
        </w:rPr>
        <w:t xml:space="preserve">to an RTO, and are not actively participating in FERC-run proceedings.   This </w:t>
      </w:r>
    </w:p>
    <w:p>
      <w:pPr>
        <w:pStyle w:val="Normal"/>
        <w:rPr>
          <w:iCs/>
        </w:rPr>
      </w:pPr>
      <w:r>
        <w:rPr>
          <w:iCs/>
        </w:rPr>
        <w:t xml:space="preserve">     </w:t>
      </w:r>
      <w:r>
        <w:rPr>
          <w:iCs/>
        </w:rPr>
        <w:t>would ask FERC to demand a firm commitment to a specified RTO, and a</w:t>
      </w:r>
    </w:p>
    <w:p>
      <w:pPr>
        <w:pStyle w:val="Normal"/>
        <w:rPr>
          <w:iCs/>
        </w:rPr>
      </w:pPr>
      <w:r>
        <w:rPr>
          <w:iCs/>
        </w:rPr>
        <w:t xml:space="preserve">     </w:t>
      </w:r>
      <w:r>
        <w:rPr>
          <w:iCs/>
        </w:rPr>
        <w:t xml:space="preserve">schedule for filing and creation of that RTO.     </w:t>
      </w:r>
    </w:p>
    <w:p>
      <w:pPr>
        <w:pStyle w:val="Normal"/>
        <w:rPr>
          <w:iCs/>
        </w:rPr>
      </w:pPr>
      <w:r>
        <w:rPr>
          <w:iCs/>
        </w:rPr>
      </w:r>
    </w:p>
    <w:p>
      <w:pPr>
        <w:pStyle w:val="Normal"/>
        <w:rPr>
          <w:iCs/>
        </w:rPr>
      </w:pPr>
      <w:r>
        <w:rPr>
          <w:iCs/>
        </w:rPr>
        <w:t xml:space="preserve">            ▪ </w:t>
      </w:r>
      <w:r>
        <w:rPr>
          <w:iCs/>
        </w:rPr>
        <w:t xml:space="preserve">A third filing should focus on the major federal agencies - - TVA, BPA, </w:t>
      </w:r>
    </w:p>
    <w:p>
      <w:pPr>
        <w:pStyle w:val="Normal"/>
        <w:rPr>
          <w:iCs/>
        </w:rPr>
      </w:pPr>
      <w:r>
        <w:rPr>
          <w:iCs/>
        </w:rPr>
        <w:t xml:space="preserve">     </w:t>
      </w:r>
      <w:r>
        <w:rPr>
          <w:iCs/>
        </w:rPr>
        <w:t>to a certain extent WAPA, etc - - as well as a few other large agencies.  (Tri-State,</w:t>
      </w:r>
    </w:p>
    <w:p>
      <w:pPr>
        <w:pStyle w:val="Normal"/>
        <w:rPr/>
      </w:pPr>
      <w:r>
        <w:rPr>
          <w:iCs/>
        </w:rPr>
        <w:t xml:space="preserve">     </w:t>
      </w:r>
      <w:r>
        <w:rPr>
          <w:iCs/>
        </w:rPr>
        <w:t xml:space="preserve">OPPD, etc.)   Without those agencies, RTO formation in most regions will be </w:t>
      </w:r>
    </w:p>
    <w:p>
      <w:pPr>
        <w:pStyle w:val="Normal"/>
        <w:rPr>
          <w:iCs/>
        </w:rPr>
      </w:pPr>
      <w:r>
        <w:rPr>
          <w:iCs/>
        </w:rPr>
        <w:t xml:space="preserve">     </w:t>
      </w:r>
      <w:r>
        <w:rPr>
          <w:iCs/>
        </w:rPr>
        <w:t xml:space="preserve">impossible. </w:t>
      </w:r>
    </w:p>
    <w:p>
      <w:pPr>
        <w:pStyle w:val="Normal"/>
        <w:rPr>
          <w:iCs/>
        </w:rPr>
      </w:pPr>
      <w:r>
        <w:rPr>
          <w:iCs/>
        </w:rPr>
      </w:r>
    </w:p>
    <w:p>
      <w:pPr>
        <w:pStyle w:val="Normal"/>
        <w:rPr>
          <w:iCs/>
        </w:rPr>
      </w:pPr>
      <w:r>
        <w:rPr>
          <w:iCs/>
        </w:rPr>
        <w:t xml:space="preserve">I favor breaking it up into three parts for several reasons, some of them very strong. </w:t>
      </w:r>
    </w:p>
    <w:p>
      <w:pPr>
        <w:pStyle w:val="Normal"/>
        <w:rPr>
          <w:iCs/>
        </w:rPr>
      </w:pPr>
      <w:r>
        <w:rPr>
          <w:iCs/>
        </w:rPr>
      </w:r>
    </w:p>
    <w:p>
      <w:pPr>
        <w:pStyle w:val="Normal"/>
        <w:numPr>
          <w:ilvl w:val="0"/>
          <w:numId w:val="2"/>
        </w:numPr>
        <w:rPr>
          <w:iCs/>
        </w:rPr>
      </w:pPr>
      <w:r>
        <w:rPr>
          <w:iCs/>
        </w:rPr>
        <w:t xml:space="preserve">Keeping the pleading as is, with everything lumped together, gives FERC the perfect excuse to do nothing at all.  (“Oh, we’re waiting for the RTO proceedings.”)  By throwing the eastern RTOs in with everybody else, we allow FERC to sit on its hands regarding the whole filing.  </w:t>
      </w:r>
    </w:p>
    <w:p>
      <w:pPr>
        <w:pStyle w:val="Normal"/>
        <w:ind w:start="660" w:end="0"/>
        <w:rPr>
          <w:iCs/>
        </w:rPr>
      </w:pPr>
      <w:r>
        <w:rPr>
          <w:iCs/>
        </w:rPr>
      </w:r>
    </w:p>
    <w:p>
      <w:pPr>
        <w:pStyle w:val="Normal"/>
        <w:numPr>
          <w:ilvl w:val="0"/>
          <w:numId w:val="2"/>
        </w:numPr>
        <w:rPr>
          <w:iCs/>
        </w:rPr>
      </w:pPr>
      <w:r>
        <w:rPr>
          <w:iCs/>
        </w:rPr>
        <w:t>Splitting them up lets us get very specific with remedies and timetables, which</w:t>
      </w:r>
    </w:p>
    <w:p>
      <w:pPr>
        <w:pStyle w:val="Normal"/>
        <w:ind w:start="660" w:end="0"/>
        <w:rPr>
          <w:iCs/>
        </w:rPr>
      </w:pPr>
      <w:r>
        <w:rPr>
          <w:iCs/>
        </w:rPr>
        <w:t xml:space="preserve">makes it much harder for FERC to do nothing.  It’s been almost a year since half the country told FERC no, or gave excuses.   FERC needs to pin down these companies now, and can do so without the complex analyses or  interference with existing cases that the big RTO cases involve. </w:t>
      </w:r>
    </w:p>
    <w:p>
      <w:pPr>
        <w:pStyle w:val="Normal"/>
        <w:ind w:start="660" w:end="0"/>
        <w:rPr>
          <w:iCs/>
        </w:rPr>
      </w:pPr>
      <w:r>
        <w:rPr>
          <w:iCs/>
        </w:rPr>
      </w:r>
    </w:p>
    <w:p>
      <w:pPr>
        <w:pStyle w:val="Normal"/>
        <w:numPr>
          <w:ilvl w:val="0"/>
          <w:numId w:val="2"/>
        </w:numPr>
        <w:rPr>
          <w:iCs/>
        </w:rPr>
      </w:pPr>
      <w:r>
        <w:rPr>
          <w:iCs/>
        </w:rPr>
        <w:t xml:space="preserve">Singling out the governmental agencies is a key.   Unless we do that, TVA </w:t>
      </w:r>
    </w:p>
    <w:p>
      <w:pPr>
        <w:pStyle w:val="Normal"/>
        <w:ind w:start="660" w:end="0"/>
        <w:rPr>
          <w:iCs/>
        </w:rPr>
      </w:pPr>
      <w:r>
        <w:rPr>
          <w:iCs/>
        </w:rPr>
        <w:t xml:space="preserve">and the others get lost in the proceeding, and show up almost as an afterthought.   A separate proceeding makes it easier to isolate them politically.   </w:t>
      </w:r>
    </w:p>
    <w:p>
      <w:pPr>
        <w:pStyle w:val="Normal"/>
        <w:ind w:start="660" w:end="0"/>
        <w:rPr>
          <w:iCs/>
        </w:rPr>
      </w:pPr>
      <w:r>
        <w:rPr>
          <w:iCs/>
        </w:rPr>
        <w:t xml:space="preserve">     </w:t>
      </w:r>
      <w:r>
        <w:rPr>
          <w:iCs/>
        </w:rPr>
        <w:t xml:space="preserve">The basic strategy is to shame public power, and use political pressure </w:t>
      </w:r>
    </w:p>
    <w:p>
      <w:pPr>
        <w:pStyle w:val="Normal"/>
        <w:ind w:start="660" w:end="0"/>
        <w:rPr>
          <w:iCs/>
        </w:rPr>
      </w:pPr>
      <w:r>
        <w:rPr>
          <w:iCs/>
        </w:rPr>
        <w:t>to force them into RTOs.   A good shaming strategy means FERC should be eminently reasonable – at first.   FERC should politely inquire of each major federal and state transmission owner: just tell us what you are going to do,</w:t>
      </w:r>
    </w:p>
    <w:p>
      <w:pPr>
        <w:pStyle w:val="Normal"/>
        <w:ind w:start="660" w:end="0"/>
        <w:rPr>
          <w:iCs/>
        </w:rPr>
      </w:pPr>
      <w:r>
        <w:rPr>
          <w:iCs/>
        </w:rPr>
        <w:t xml:space="preserve">and when.  When their answers are vague or evasive,  Enron can shop those answers to the Administration and Congress, while turning up the heat at FERC.   The major federal and state agencies are in fact blocking RTO formation in much of the country.  It’s a lot easier to prove that with a separate proceeding.   As long as public power remains “Part Three” of a much larger filing, it’s easier for them to hide.   </w:t>
      </w:r>
    </w:p>
    <w:p>
      <w:pPr>
        <w:pStyle w:val="Normal"/>
        <w:ind w:start="300" w:end="0"/>
        <w:rPr>
          <w:iCs/>
        </w:rPr>
      </w:pPr>
      <w:r>
        <w:rPr>
          <w:iCs/>
        </w:rPr>
      </w:r>
    </w:p>
    <w:p>
      <w:pPr>
        <w:pStyle w:val="Normal"/>
        <w:ind w:start="300" w:end="0"/>
        <w:rPr>
          <w:iCs/>
        </w:rPr>
      </w:pPr>
      <w:r>
        <w:rPr>
          <w:iCs/>
        </w:rPr>
        <w:t xml:space="preserve">So those are my feelings, and I really think a complex blunderbuss filing would </w:t>
      </w:r>
    </w:p>
    <w:p>
      <w:pPr>
        <w:pStyle w:val="Normal"/>
        <w:rPr>
          <w:iCs/>
        </w:rPr>
      </w:pPr>
      <w:r>
        <w:rPr>
          <w:iCs/>
        </w:rPr>
        <w:t>almost certainly go nowhere.   Three distinct, nicely aimed filings gives you three good shots.   We can - - if you like - - split this up into three filings within a couple of days, or advise you as you do it.   So it shouldn’t slow things down.</w:t>
      </w:r>
    </w:p>
    <w:p>
      <w:pPr>
        <w:pStyle w:val="Normal"/>
        <w:rPr>
          <w:iCs/>
        </w:rPr>
      </w:pPr>
      <w:r>
        <w:rPr>
          <w:iCs/>
        </w:rPr>
      </w:r>
    </w:p>
    <w:p>
      <w:pPr>
        <w:pStyle w:val="Normal"/>
        <w:rPr>
          <w:iCs/>
        </w:rPr>
      </w:pPr>
      <w:r>
        <w:rPr>
          <w:iCs/>
        </w:rPr>
      </w:r>
    </w:p>
    <w:p>
      <w:pPr>
        <w:pStyle w:val="Normal"/>
        <w:rPr/>
      </w:pPr>
      <w:r>
        <w:rPr>
          <w:iCs/>
        </w:rPr>
        <w:tab/>
        <w:t xml:space="preserve">I have a couple of other concerns, discussed below. </w:t>
      </w:r>
    </w:p>
    <w:p>
      <w:pPr>
        <w:pStyle w:val="Normal"/>
        <w:rPr>
          <w:iCs/>
        </w:rPr>
      </w:pPr>
      <w:r>
        <w:rPr>
          <w:iCs/>
        </w:rPr>
      </w:r>
    </w:p>
    <w:p>
      <w:pPr>
        <w:pStyle w:val="Normal"/>
        <w:rPr/>
      </w:pPr>
      <w:r>
        <w:rPr>
          <w:iCs/>
        </w:rPr>
        <w:t xml:space="preserve">    ▪  </w:t>
      </w:r>
      <w:r>
        <w:rPr>
          <w:iCs/>
        </w:rPr>
        <w:t xml:space="preserve">I think you should shop the filing with a few selected parties, as well as with FERC staff.   Customer groups actually ought to be on our side - -the major purchasing munis, industrial customers, and the local (not G&amp;T) co-ops.   Aside from economic theory, customers provide our only real source of credibility.  It would be good to get them on our side, and fatal if they opposed us.  Because some customer groups (like NRECA and even the industrials) also include transmission owners, we ought to talk to them first.  Their support would also be important to avoid the impression that this is an Enron-only initiative, with the political baggage that impression entails. </w:t>
      </w:r>
    </w:p>
    <w:p>
      <w:pPr>
        <w:pStyle w:val="Normal"/>
        <w:rPr>
          <w:iCs/>
        </w:rPr>
      </w:pPr>
      <w:r>
        <w:rPr>
          <w:iCs/>
        </w:rPr>
      </w:r>
    </w:p>
    <w:p>
      <w:pPr>
        <w:pStyle w:val="Normal"/>
        <w:rPr>
          <w:iCs/>
        </w:rPr>
      </w:pPr>
      <w:r>
        <w:rPr>
          <w:iCs/>
        </w:rPr>
        <w:t xml:space="preserve">       </w:t>
      </w:r>
      <w:r>
        <w:rPr>
          <w:iCs/>
        </w:rPr>
        <w:t xml:space="preserve">As to the staff, the key is to make sure we’re enabling them to do something they already want to do, rather than simply putting new loads on their shoulders.  This is where splitting up the filing helps: staff probably won’t meet with us regarding any pleading that involves the major RTOs with pending cases, but they would meet with us regarding the non-filing companies and the public power agencies.   We need to give the staff a game plan, with dates and specific remedies, before we file.  I’d start with a Commissioner or two and the relevant assistant, and then meet with the Larcamp/Kelly/O’Neill wing of the staff.   As you know, the heads of the Eastern and Western market divisions got their jobs because they’re great administrators – not policymakers, and certainly not risk-takers.  You need to get to Dan and Kevin, and one question you should ask is: when do you want us to file this? Are you ready?  (If their answer is “never,” that doesn’t mean we shouldn’t file.  But it won’t be.)  We need to give them whatever help they need to go down the path they’ve already chosen, and that means making them part of the process before we file.    </w:t>
      </w:r>
    </w:p>
    <w:p>
      <w:pPr>
        <w:pStyle w:val="Normal"/>
        <w:rPr>
          <w:iCs/>
        </w:rPr>
      </w:pPr>
      <w:r>
        <w:rPr>
          <w:iCs/>
        </w:rPr>
      </w:r>
    </w:p>
    <w:p>
      <w:pPr>
        <w:pStyle w:val="Normal"/>
        <w:rPr>
          <w:iCs/>
        </w:rPr>
      </w:pPr>
      <w:r>
        <w:rPr>
          <w:iCs/>
        </w:rPr>
        <w:t xml:space="preserve">     </w:t>
      </w:r>
      <w:r>
        <w:rPr>
          <w:iCs/>
        </w:rPr>
        <w:t xml:space="preserve">Anyway, those are my suggestions. I’ll be glad to give you whatever help you need regarding the rest.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60"/>
        </w:tabs>
        <w:ind w:start="6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2001-09-05T09:33:00Z</dcterms:created>
  <dc:creator>Sam Behrends</dc:creator>
  <dc:description/>
  <dc:language>en-CA</dc:language>
  <cp:lastModifiedBy>snovose</cp:lastModifiedBy>
  <dcterms:modified xsi:type="dcterms:W3CDTF">2001-09-05T09:33:00Z</dcterms:modified>
  <cp:revision>2</cp:revision>
  <dc:subject/>
  <dc:title>Privileged and Confidential</dc:title>
</cp:coreProperties>
</file>