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Sara Questions:  December 6, 2001</w:t>
      </w:r>
    </w:p>
    <w:p>
      <w:pPr>
        <w:pStyle w:val="Normal"/>
        <w:rPr/>
      </w:pPr>
      <w:r>
        <w:rPr/>
      </w:r>
    </w:p>
    <w:p>
      <w:pPr>
        <w:pStyle w:val="Normal"/>
        <w:numPr>
          <w:ilvl w:val="0"/>
          <w:numId w:val="1"/>
        </w:numPr>
        <w:rPr/>
      </w:pPr>
      <w:r>
        <w:rPr/>
        <w:t xml:space="preserve">Contract Terminations:  Are ALL transactions terminated or just the ISDA?  Should we take those Counterparties’ transactions out of the risk books?  Who will be paying the lump sum termination payments?  The bankruptcy court or this group?  Who executes the swap buyouts?  Our traders or the creditor banks?   If we are in the money, will other parties pay us?  </w:t>
      </w:r>
    </w:p>
    <w:p>
      <w:pPr>
        <w:pStyle w:val="Normal"/>
        <w:rPr/>
      </w:pPr>
      <w:r>
        <w:rPr/>
      </w:r>
    </w:p>
    <w:p>
      <w:pPr>
        <w:pStyle w:val="Normal"/>
        <w:numPr>
          <w:ilvl w:val="0"/>
          <w:numId w:val="1"/>
        </w:numPr>
        <w:rPr/>
      </w:pPr>
      <w:r>
        <w:rPr/>
        <w:t>RMT?  Should we be settling those transactions?  Corp not paying anything but stand alone companies.  Will RMT be declaring bankruptcy?  Effectively, we can do no business.</w:t>
      </w:r>
    </w:p>
    <w:p>
      <w:pPr>
        <w:pStyle w:val="Normal"/>
        <w:rPr/>
      </w:pPr>
      <w:r>
        <w:rPr/>
      </w:r>
    </w:p>
    <w:p>
      <w:pPr>
        <w:pStyle w:val="Normal"/>
        <w:numPr>
          <w:ilvl w:val="0"/>
          <w:numId w:val="1"/>
        </w:numPr>
        <w:rPr/>
      </w:pPr>
      <w:r>
        <w:rPr/>
        <w:t xml:space="preserve">All new trades booked on a new entity after bankruptcy?  As a bankrupt company are we even able to do new trades?  How are trades that were transacted prior to Bankruptcy, but settle after bankruptcy treated?  </w:t>
      </w:r>
    </w:p>
    <w:p>
      <w:pPr>
        <w:pStyle w:val="Normal"/>
        <w:rPr/>
      </w:pPr>
      <w:r>
        <w:rPr/>
      </w:r>
    </w:p>
    <w:p>
      <w:pPr>
        <w:pStyle w:val="Normal"/>
        <w:numPr>
          <w:ilvl w:val="0"/>
          <w:numId w:val="1"/>
        </w:numPr>
        <w:rPr/>
      </w:pPr>
      <w:r>
        <w:rPr/>
        <w:t xml:space="preserve">Should Risk be accepting in Cash flows from other groups?  Are we still taking in their IR risk?  What happens with rho?  drift?  </w:t>
      </w:r>
    </w:p>
    <w:p>
      <w:pPr>
        <w:pStyle w:val="Normal"/>
        <w:rPr/>
      </w:pPr>
      <w:r>
        <w:rPr/>
      </w:r>
    </w:p>
    <w:p>
      <w:pPr>
        <w:pStyle w:val="Normal"/>
        <w:numPr>
          <w:ilvl w:val="0"/>
          <w:numId w:val="1"/>
        </w:numPr>
        <w:rPr/>
      </w:pPr>
      <w:r>
        <w:rPr/>
        <w:t>Are deals with European entities considered null and void?  What about trades with Enron Canada?   ECTRIC?</w:t>
      </w:r>
    </w:p>
    <w:p>
      <w:pPr>
        <w:pStyle w:val="Normal"/>
        <w:rPr/>
      </w:pPr>
      <w:r>
        <w:rPr/>
      </w:r>
    </w:p>
    <w:p>
      <w:pPr>
        <w:pStyle w:val="Normal"/>
        <w:numPr>
          <w:ilvl w:val="0"/>
          <w:numId w:val="1"/>
        </w:numPr>
        <w:rPr/>
      </w:pPr>
      <w:r>
        <w:rPr/>
        <w:t xml:space="preserve">  </w:t>
      </w:r>
      <w:r>
        <w:rPr/>
        <w:t>What next??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2001-12-06T13:07:00Z</dcterms:created>
  <dc:creator>Laurel Adams</dc:creator>
  <dc:description/>
  <dc:language>en-CA</dc:language>
  <cp:lastModifiedBy>Laurel Adams</cp:lastModifiedBy>
  <dcterms:modified xsi:type="dcterms:W3CDTF">2001-12-06T14:39:00Z</dcterms:modified>
  <cp:revision>2</cp:revision>
  <dc:subject/>
  <dc:title>Sara Questions:  December 6, 2001</dc:title>
</cp:coreProperties>
</file>