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Legal Documentation – Financial Trading</w:t>
      </w:r>
    </w:p>
    <w:p>
      <w:pPr>
        <w:pStyle w:val="Normal"/>
        <w:rPr>
          <w:sz w:val="22"/>
        </w:rPr>
      </w:pPr>
      <w:r>
        <w:rPr>
          <w:sz w:val="22"/>
        </w:rPr>
      </w:r>
    </w:p>
    <w:p>
      <w:pPr>
        <w:pStyle w:val="Normal"/>
        <w:jc w:val="center"/>
        <w:rPr>
          <w:sz w:val="22"/>
        </w:rPr>
      </w:pPr>
      <w:r>
        <w:rPr>
          <w:sz w:val="22"/>
        </w:rPr>
        <w:t>Sara Shackleton, ECT Legal Group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Definition</w:t>
      </w:r>
    </w:p>
    <w:p>
      <w:pPr>
        <w:pStyle w:val="Normal"/>
        <w:jc w:val="both"/>
        <w:rPr>
          <w:sz w:val="22"/>
        </w:rPr>
      </w:pPr>
      <w:r>
        <w:rPr>
          <w:sz w:val="22"/>
        </w:rPr>
      </w:r>
    </w:p>
    <w:p>
      <w:pPr>
        <w:pStyle w:val="Normal"/>
        <w:jc w:val="both"/>
        <w:rPr>
          <w:sz w:val="22"/>
        </w:rPr>
      </w:pPr>
      <w:r>
        <w:rPr>
          <w:sz w:val="22"/>
        </w:rPr>
        <w:t>Financial Transactions:  Purchases and Sales Based on Differences between a Fixed Price and an Posted Indexed Price.  The two most common products are swaps and options.</w:t>
      </w:r>
    </w:p>
    <w:p>
      <w:pPr>
        <w:pStyle w:val="Normal"/>
        <w:jc w:val="both"/>
        <w:rPr>
          <w:sz w:val="22"/>
        </w:rPr>
      </w:pPr>
      <w:r>
        <w:rPr>
          <w:sz w:val="22"/>
        </w:rPr>
      </w:r>
    </w:p>
    <w:p>
      <w:pPr>
        <w:pStyle w:val="Normal"/>
        <w:jc w:val="both"/>
        <w:rPr>
          <w:sz w:val="22"/>
        </w:rPr>
      </w:pPr>
      <w:r>
        <w:rPr>
          <w:sz w:val="22"/>
        </w:rPr>
      </w:r>
    </w:p>
    <w:p>
      <w:pPr>
        <w:pStyle w:val="Heading1"/>
        <w:ind w:hanging="0" w:start="0"/>
        <w:rPr/>
      </w:pPr>
      <w:r>
        <w:rPr/>
        <w:t>Value of Financial Agreements</w:t>
      </w:r>
    </w:p>
    <w:p>
      <w:pPr>
        <w:pStyle w:val="Normal"/>
        <w:jc w:val="both"/>
        <w:rPr>
          <w:sz w:val="22"/>
        </w:rPr>
      </w:pPr>
      <w:r>
        <w:rPr>
          <w:sz w:val="22"/>
        </w:rPr>
      </w:r>
    </w:p>
    <w:p>
      <w:pPr>
        <w:pStyle w:val="Normal"/>
        <w:numPr>
          <w:ilvl w:val="0"/>
          <w:numId w:val="3"/>
        </w:numPr>
        <w:jc w:val="both"/>
        <w:rPr>
          <w:sz w:val="22"/>
        </w:rPr>
      </w:pPr>
      <w:r>
        <w:rPr>
          <w:sz w:val="22"/>
        </w:rPr>
        <w:t>Reduce Cost:  Separating Physical and Financial Pricing Can Reduce Cost</w:t>
      </w:r>
    </w:p>
    <w:p>
      <w:pPr>
        <w:pStyle w:val="Normal"/>
        <w:jc w:val="both"/>
        <w:rPr>
          <w:sz w:val="22"/>
        </w:rPr>
      </w:pPr>
      <w:r>
        <w:rPr>
          <w:sz w:val="22"/>
        </w:rPr>
      </w:r>
    </w:p>
    <w:p>
      <w:pPr>
        <w:pStyle w:val="Normal"/>
        <w:numPr>
          <w:ilvl w:val="0"/>
          <w:numId w:val="3"/>
        </w:numPr>
        <w:jc w:val="both"/>
        <w:rPr>
          <w:sz w:val="22"/>
        </w:rPr>
      </w:pPr>
      <w:r>
        <w:rPr>
          <w:sz w:val="22"/>
        </w:rPr>
        <w:t>Legal Difficulties in Disguising Financial Transactions as Physical Transactions</w:t>
      </w:r>
    </w:p>
    <w:p>
      <w:pPr>
        <w:pStyle w:val="Normal"/>
        <w:jc w:val="both"/>
        <w:rPr>
          <w:sz w:val="22"/>
        </w:rPr>
      </w:pPr>
      <w:r>
        <w:rPr>
          <w:sz w:val="22"/>
        </w:rPr>
      </w:r>
    </w:p>
    <w:p>
      <w:pPr>
        <w:pStyle w:val="Normal"/>
        <w:numPr>
          <w:ilvl w:val="0"/>
          <w:numId w:val="3"/>
        </w:numPr>
        <w:jc w:val="both"/>
        <w:rPr>
          <w:sz w:val="22"/>
        </w:rPr>
      </w:pPr>
      <w:r>
        <w:rPr>
          <w:sz w:val="22"/>
        </w:rPr>
        <w:t xml:space="preserve">Contractual Obligations Preclude Competitive Bidding (i.e. PX, Utility Tariffs) </w:t>
      </w:r>
    </w:p>
    <w:p>
      <w:pPr>
        <w:pStyle w:val="Normal"/>
        <w:jc w:val="both"/>
        <w:rPr>
          <w:sz w:val="22"/>
        </w:rPr>
      </w:pPr>
      <w:r>
        <w:rPr>
          <w:sz w:val="22"/>
        </w:rPr>
      </w:r>
    </w:p>
    <w:p>
      <w:pPr>
        <w:pStyle w:val="Normal"/>
        <w:numPr>
          <w:ilvl w:val="0"/>
          <w:numId w:val="3"/>
        </w:numPr>
        <w:jc w:val="both"/>
        <w:rPr>
          <w:sz w:val="22"/>
        </w:rPr>
      </w:pPr>
      <w:r>
        <w:rPr>
          <w:sz w:val="22"/>
        </w:rPr>
        <w:t>Financial Settlement Eliminates Need for Force Majeure and Costs/Charges for Failure to Perform</w:t>
      </w:r>
    </w:p>
    <w:p>
      <w:pPr>
        <w:pStyle w:val="Normal"/>
        <w:jc w:val="both"/>
        <w:rPr>
          <w:sz w:val="22"/>
        </w:rPr>
      </w:pPr>
      <w:r>
        <w:rPr>
          <w:sz w:val="22"/>
        </w:rPr>
      </w:r>
    </w:p>
    <w:p>
      <w:pPr>
        <w:pStyle w:val="Normal"/>
        <w:numPr>
          <w:ilvl w:val="0"/>
          <w:numId w:val="3"/>
        </w:numPr>
        <w:spacing w:before="0" w:after="240"/>
        <w:jc w:val="both"/>
        <w:rPr>
          <w:sz w:val="22"/>
        </w:rPr>
      </w:pPr>
      <w:r>
        <w:rPr>
          <w:sz w:val="22"/>
        </w:rPr>
        <w:t>Flexibility to Change Position</w:t>
      </w:r>
    </w:p>
    <w:p>
      <w:pPr>
        <w:pStyle w:val="Normal"/>
        <w:spacing w:before="0" w:after="240"/>
        <w:jc w:val="both"/>
        <w:rPr>
          <w:sz w:val="22"/>
        </w:rPr>
      </w:pPr>
      <w:r>
        <w:rPr>
          <w:sz w:val="22"/>
        </w:rPr>
      </w:r>
    </w:p>
    <w:p>
      <w:pPr>
        <w:pStyle w:val="Heading1"/>
        <w:spacing w:before="0" w:after="240"/>
        <w:ind w:hanging="0" w:start="0"/>
        <w:rPr/>
      </w:pPr>
      <w:r>
        <w:rPr/>
        <w:t>Legal Issues for Financial Agreements</w:t>
      </w:r>
    </w:p>
    <w:p>
      <w:pPr>
        <w:pStyle w:val="Normal"/>
        <w:numPr>
          <w:ilvl w:val="0"/>
          <w:numId w:val="3"/>
        </w:numPr>
        <w:spacing w:before="0" w:after="240"/>
        <w:jc w:val="both"/>
        <w:rPr>
          <w:sz w:val="22"/>
        </w:rPr>
      </w:pPr>
      <w:r>
        <w:rPr>
          <w:sz w:val="22"/>
        </w:rPr>
        <w:t>Use of Industry Standard ISDA (International Swaps and Derivatives Association, Inc.) Master Agreement and Credit Support Annex Designed to Cover Multiple Transactions and Products</w:t>
      </w:r>
    </w:p>
    <w:p>
      <w:pPr>
        <w:pStyle w:val="Normal"/>
        <w:numPr>
          <w:ilvl w:val="0"/>
          <w:numId w:val="3"/>
        </w:numPr>
        <w:spacing w:before="0" w:after="240"/>
        <w:jc w:val="both"/>
        <w:rPr>
          <w:sz w:val="22"/>
        </w:rPr>
      </w:pPr>
      <w:r>
        <w:rPr>
          <w:sz w:val="22"/>
        </w:rPr>
        <w:t>Bilateral Documents Negotiated Prior to Any Transaction</w:t>
      </w:r>
    </w:p>
    <w:p>
      <w:pPr>
        <w:pStyle w:val="Normal"/>
        <w:numPr>
          <w:ilvl w:val="0"/>
          <w:numId w:val="3"/>
        </w:numPr>
        <w:spacing w:before="0" w:after="240"/>
        <w:jc w:val="both"/>
        <w:rPr>
          <w:sz w:val="22"/>
        </w:rPr>
      </w:pPr>
      <w:r>
        <w:rPr>
          <w:sz w:val="22"/>
        </w:rPr>
        <w:t>Subject to Commodity Futures Trading Commission (“CFTC”) Regulation</w:t>
      </w:r>
    </w:p>
    <w:p>
      <w:pPr>
        <w:pStyle w:val="Normal"/>
        <w:numPr>
          <w:ilvl w:val="0"/>
          <w:numId w:val="3"/>
        </w:numPr>
        <w:spacing w:before="0" w:after="240"/>
        <w:jc w:val="both"/>
        <w:rPr>
          <w:sz w:val="22"/>
        </w:rPr>
      </w:pPr>
      <w:r>
        <w:rPr>
          <w:sz w:val="22"/>
        </w:rPr>
        <w:t>Swap Exemption and Eligible Swap Participant as defined under CFTC rules (see attached Exhibit A)</w:t>
      </w:r>
    </w:p>
    <w:p>
      <w:pPr>
        <w:pStyle w:val="Normal"/>
        <w:numPr>
          <w:ilvl w:val="0"/>
          <w:numId w:val="3"/>
        </w:numPr>
        <w:spacing w:before="0" w:after="240"/>
        <w:jc w:val="both"/>
        <w:rPr>
          <w:sz w:val="22"/>
        </w:rPr>
      </w:pPr>
      <w:r>
        <w:rPr>
          <w:sz w:val="22"/>
        </w:rPr>
        <w:t>Individually Tailored and Negotiated by Parties Based Upon Credit Considerations</w:t>
      </w:r>
    </w:p>
    <w:p>
      <w:pPr>
        <w:pStyle w:val="Normal"/>
        <w:numPr>
          <w:ilvl w:val="0"/>
          <w:numId w:val="3"/>
        </w:numPr>
        <w:spacing w:before="0" w:after="240"/>
        <w:jc w:val="both"/>
        <w:rPr>
          <w:sz w:val="22"/>
        </w:rPr>
      </w:pPr>
      <w:r>
        <w:rPr>
          <w:sz w:val="22"/>
        </w:rPr>
        <w:t>Burden on Each Party to the ISDA Master Agreement to Rely Upon its Own Advisors and Understanding of the Transaction Risks</w:t>
      </w:r>
    </w:p>
    <w:p>
      <w:pPr>
        <w:pStyle w:val="Normal"/>
        <w:numPr>
          <w:ilvl w:val="0"/>
          <w:numId w:val="3"/>
        </w:numPr>
        <w:spacing w:before="0" w:after="240"/>
        <w:jc w:val="both"/>
        <w:rPr>
          <w:b/>
          <w:sz w:val="24"/>
        </w:rPr>
      </w:pPr>
      <w:r>
        <w:rPr>
          <w:sz w:val="22"/>
        </w:rPr>
        <w:t>Ease of Transacting Under ISDA Master Agreement and Related Documents</w:t>
      </w:r>
      <w:r>
        <w:br w:type="page"/>
      </w:r>
    </w:p>
    <w:p>
      <w:pPr>
        <w:pStyle w:val="Normal"/>
        <w:spacing w:before="0" w:after="240"/>
        <w:jc w:val="both"/>
        <w:rPr>
          <w:b/>
          <w:sz w:val="24"/>
        </w:rPr>
      </w:pPr>
      <w:r>
        <w:rPr>
          <w:b/>
          <w:sz w:val="24"/>
        </w:rPr>
        <w:t>EXHIBIT A</w:t>
      </w:r>
    </w:p>
    <w:p>
      <w:pPr>
        <w:pStyle w:val="Normal"/>
        <w:jc w:val="center"/>
        <w:rPr>
          <w:b/>
          <w:sz w:val="32"/>
        </w:rPr>
      </w:pPr>
      <w:r>
        <w:rPr>
          <w:b/>
          <w:sz w:val="32"/>
        </w:rPr>
      </w:r>
    </w:p>
    <w:p>
      <w:pPr>
        <w:pStyle w:val="Normal"/>
        <w:jc w:val="center"/>
        <w:rPr>
          <w:b/>
          <w:sz w:val="28"/>
        </w:rPr>
      </w:pPr>
      <w:r>
        <w:rPr>
          <w:b/>
          <w:sz w:val="28"/>
        </w:rPr>
        <w:t>"ELIGIBLE SWAP PARTICIPANTS"</w:t>
      </w:r>
    </w:p>
    <w:p>
      <w:pPr>
        <w:pStyle w:val="Normal"/>
        <w:ind w:hanging="720" w:start="720" w:end="0"/>
        <w:jc w:val="both"/>
        <w:rPr>
          <w:b/>
          <w:sz w:val="28"/>
        </w:rPr>
      </w:pPr>
      <w:r>
        <w:rPr>
          <w:b/>
          <w:sz w:val="28"/>
        </w:rPr>
      </w:r>
    </w:p>
    <w:p>
      <w:pPr>
        <w:pStyle w:val="Normal"/>
        <w:ind w:hanging="720" w:start="720" w:end="0"/>
        <w:jc w:val="both"/>
        <w:rPr>
          <w:sz w:val="22"/>
        </w:rPr>
      </w:pPr>
      <w:r>
        <w:rPr>
          <w:sz w:val="22"/>
        </w:rPr>
        <w:tab/>
        <w:t>The swap agreement must be between "eligible swap participants" which include:</w:t>
      </w:r>
    </w:p>
    <w:p>
      <w:pPr>
        <w:pStyle w:val="Normal"/>
        <w:ind w:hanging="720" w:start="1440" w:end="0"/>
        <w:jc w:val="both"/>
        <w:rPr>
          <w:sz w:val="22"/>
        </w:rPr>
      </w:pPr>
      <w:r>
        <w:rPr>
          <w:sz w:val="22"/>
        </w:rPr>
      </w:r>
    </w:p>
    <w:p>
      <w:pPr>
        <w:pStyle w:val="Normal"/>
        <w:numPr>
          <w:ilvl w:val="0"/>
          <w:numId w:val="2"/>
        </w:numPr>
        <w:ind w:hanging="720" w:start="720" w:end="0"/>
        <w:jc w:val="both"/>
        <w:rPr>
          <w:sz w:val="22"/>
        </w:rPr>
      </w:pPr>
      <w:r>
        <w:rPr>
          <w:sz w:val="22"/>
        </w:rPr>
        <w:t>a bank or trust company (acting on its own behalf or on behalf of another eligible swap participant);</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savings association or credit union;</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an insurance company;</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an investment company subject to regulation under the Investment Company Act of 1940 or a similarly regulated foreign person;</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commodity pool subject to the Commodity Exchange Act (“CEA”) having assets exceeding $5 million or a similarly regulated foreign person;</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corporation, partnership, proprietorship, organization, trust or other entity (not formed for the specific purpose of constituting an eligible swap participant) (A) having total assets in excess of $10 million, (B) the obligations of the swap agreement are guaranteed by a letter of credit or other agreement, by an entity referred to in Items 1 – 6 or 8, or (C) which has a net worth of $1 million and enters into the swap agreement in connection with the conduct of its business, or which has a net worth of $1 million and enters into the swap agreement to manage the risk of an asset or liability owned or incurred in the conduct of its business or reasonably likely to be owned or incurred in the conduct of its business;</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employee benefit plans subject to ERISA with total assets exceeding $5 million or whose investment decisions are made by a bank, trust company, insurance company, investment adviser subject to the Investment Advisors Act of 1940, or a commodity trading advisor subject to the CEA;</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any governmental entity (including the United States, any state, or any foreign government) or political subdivision thereof, or any multinational or supranational entity or any instrumentality, agency, or department of any of the foregoing;</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 xml:space="preserve">any broker dealer subject to regulation under the Securities Exchange Act of 1934 or a foreign person performing a similar role or function subject as such to foreign regulation, acting on its own behalf or on behalf of another eligible swap participant:  </w:t>
      </w:r>
      <w:r>
        <w:rPr>
          <w:i/>
          <w:sz w:val="22"/>
        </w:rPr>
        <w:t>provided, however</w:t>
      </w:r>
      <w:r>
        <w:rPr>
          <w:sz w:val="22"/>
        </w:rPr>
        <w:t>, that if such broker-dealer is a natural person or proprietorship, the broker-dealer must also meet the requirements of Item 6 above or Item 11;</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 xml:space="preserve">a futures commission merchant, floor broker, or floor trader subject to the CEA or a foreign person performing a similar function subject as such to foreign regulation acting on its own behalf or on behalf of another eligible swap participant, </w:t>
      </w:r>
      <w:r>
        <w:rPr>
          <w:i/>
          <w:sz w:val="22"/>
        </w:rPr>
        <w:t>provided, however</w:t>
      </w:r>
      <w:r>
        <w:rPr>
          <w:sz w:val="22"/>
        </w:rPr>
        <w:t>,  that if such futures commission merchant, floor broker, or floor trader is a natural person or proprietorship, the futures commission merchant, floor broker, or floor trader must also meet the requirements of Item 6 above or Item 11 below; or</w:t>
      </w:r>
    </w:p>
    <w:p>
      <w:pPr>
        <w:pStyle w:val="Normal"/>
        <w:numPr>
          <w:ilvl w:val="0"/>
          <w:numId w:val="0"/>
        </w:numPr>
        <w:ind w:hanging="720" w:start="720" w:end="0"/>
        <w:jc w:val="both"/>
        <w:rPr>
          <w:sz w:val="22"/>
        </w:rPr>
      </w:pPr>
      <w:r>
        <w:rPr>
          <w:sz w:val="22"/>
        </w:rPr>
      </w:r>
    </w:p>
    <w:p>
      <w:pPr>
        <w:pStyle w:val="Normal"/>
        <w:numPr>
          <w:ilvl w:val="0"/>
          <w:numId w:val="2"/>
        </w:numPr>
        <w:ind w:hanging="720" w:start="720" w:end="0"/>
        <w:jc w:val="both"/>
        <w:rPr>
          <w:sz w:val="22"/>
        </w:rPr>
      </w:pPr>
      <w:r>
        <w:rPr>
          <w:sz w:val="22"/>
        </w:rPr>
        <w:t>a natural person having total assets in excess of $10 million.</w:t>
      </w:r>
    </w:p>
    <w:p>
      <w:pPr>
        <w:pStyle w:val="BodyTextIndent"/>
        <w:tabs>
          <w:tab w:val="left" w:pos="360" w:leader="none"/>
          <w:tab w:val="left" w:pos="1440" w:leader="none"/>
          <w:tab w:val="left" w:pos="1620" w:leader="none"/>
        </w:tabs>
        <w:ind w:hanging="1620" w:start="1620" w:end="0"/>
        <w:rPr>
          <w:sz w:val="22"/>
        </w:rPr>
      </w:pPr>
      <w:r>
        <w:rPr>
          <w:sz w:val="22"/>
        </w:rPr>
      </w:r>
    </w:p>
    <w:p>
      <w:pPr>
        <w:pStyle w:val="Normal"/>
        <w:spacing w:before="0" w:after="240"/>
        <w:jc w:val="both"/>
        <w:rPr>
          <w:sz w:val="22"/>
        </w:rPr>
      </w:pPr>
      <w:r>
        <w:rPr>
          <w:sz w:val="22"/>
        </w:rPr>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ind w:hanging="1440" w:start="1440" w:end="0"/>
      <w:jc w:val="both"/>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1999-05-12T14:58:00Z</dcterms:created>
  <dc:creator>kaye ellis</dc:creator>
  <dc:description/>
  <dc:language>en-CA</dc:language>
  <cp:lastModifiedBy>cfoster</cp:lastModifiedBy>
  <cp:lastPrinted>1999-05-11T15:18:00Z</cp:lastPrinted>
  <dcterms:modified xsi:type="dcterms:W3CDTF">1999-05-12T14:58:00Z</dcterms:modified>
  <cp:revision>2</cp:revision>
  <dc:subject/>
  <dc:title>ISO/PX Public Power Trading Opportunities for the California Electricity Market:</dc:title>
</cp:coreProperties>
</file>