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2"/>
          <w:u w:val="single"/>
        </w:rPr>
      </w:pPr>
      <w:r>
        <w:rPr>
          <w:b/>
          <w:sz w:val="22"/>
          <w:u w:val="single"/>
        </w:rPr>
        <w:t>DRAFT OF 30/08/2000</w:t>
      </w:r>
    </w:p>
    <w:p>
      <w:pPr>
        <w:pStyle w:val="Normal"/>
        <w:jc w:val="center"/>
        <w:rPr>
          <w:b/>
          <w:sz w:val="22"/>
          <w:u w:val="single"/>
        </w:rPr>
      </w:pPr>
      <w:r>
        <w:rPr>
          <w:b/>
          <w:sz w:val="22"/>
          <w:u w:val="single"/>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2000</w:t>
      </w:r>
    </w:p>
    <w:p>
      <w:pPr>
        <w:pStyle w:val="Normal"/>
        <w:jc w:val="center"/>
        <w:rPr>
          <w:b/>
          <w:sz w:val="22"/>
        </w:rPr>
      </w:pPr>
      <w:r>
        <w:rPr>
          <w:b/>
          <w:sz w:val="22"/>
        </w:rPr>
      </w:r>
    </w:p>
    <w:p>
      <w:pPr>
        <w:pStyle w:val="Normal"/>
        <w:jc w:val="center"/>
        <w:rPr>
          <w:b/>
          <w:sz w:val="22"/>
        </w:rPr>
      </w:pPr>
      <w:r>
        <w:rPr>
          <w:b/>
          <w:sz w:val="22"/>
        </w:rPr>
        <w:t>between</w:t>
      </w:r>
    </w:p>
    <w:tbl>
      <w:tblPr>
        <w:tblW w:w="10188" w:type="dxa"/>
        <w:jc w:val="start"/>
        <w:tblInd w:w="0" w:type="dxa"/>
        <w:tblLayout w:type="fixed"/>
        <w:tblCellMar>
          <w:top w:w="0" w:type="dxa"/>
          <w:start w:w="108" w:type="dxa"/>
          <w:bottom w:w="0" w:type="dxa"/>
          <w:end w:w="108" w:type="dxa"/>
        </w:tblCellMar>
      </w:tblPr>
      <w:tblGrid>
        <w:gridCol w:w="4788"/>
        <w:gridCol w:w="450"/>
        <w:gridCol w:w="4950"/>
      </w:tblGrid>
      <w:tr>
        <w:trPr/>
        <w:tc>
          <w:tcPr>
            <w:tcW w:w="4788" w:type="dxa"/>
            <w:tcBorders/>
          </w:tcPr>
          <w:p>
            <w:pPr>
              <w:pStyle w:val="Normal"/>
              <w:tabs>
                <w:tab w:val="clear" w:pos="720"/>
                <w:tab w:val="center" w:pos="5760" w:leader="none"/>
              </w:tabs>
              <w:spacing w:before="240" w:after="0"/>
              <w:jc w:val="both"/>
              <w:rPr>
                <w:b/>
                <w:sz w:val="22"/>
              </w:rPr>
            </w:pPr>
            <w:r>
              <w:rPr>
                <w:b/>
                <w:sz w:val="22"/>
              </w:rPr>
              <w:t>ENRON JAPAN CORP., a corporation organized under the law of Japan (“Party A”), and</w:t>
            </w:r>
          </w:p>
        </w:tc>
        <w:tc>
          <w:tcPr>
            <w:tcW w:w="450" w:type="dxa"/>
            <w:tcBorders/>
          </w:tcPr>
          <w:p>
            <w:pPr>
              <w:pStyle w:val="Normal"/>
              <w:tabs>
                <w:tab w:val="clear" w:pos="720"/>
                <w:tab w:val="center" w:pos="5760" w:leader="none"/>
              </w:tabs>
              <w:snapToGrid w:val="false"/>
              <w:spacing w:before="240" w:after="0"/>
              <w:jc w:val="both"/>
              <w:rPr>
                <w:b/>
                <w:sz w:val="22"/>
              </w:rPr>
            </w:pPr>
            <w:r>
              <w:rPr>
                <w:b/>
                <w:sz w:val="22"/>
              </w:rPr>
            </w:r>
          </w:p>
        </w:tc>
        <w:tc>
          <w:tcPr>
            <w:tcW w:w="4950" w:type="dxa"/>
            <w:tcBorders/>
          </w:tcPr>
          <w:p>
            <w:pPr>
              <w:pStyle w:val="Normal"/>
              <w:tabs>
                <w:tab w:val="clear" w:pos="720"/>
                <w:tab w:val="center" w:pos="5760" w:leader="none"/>
              </w:tabs>
              <w:spacing w:before="240" w:after="0"/>
              <w:jc w:val="both"/>
              <w:rPr>
                <w:b/>
                <w:color w:val="808000"/>
                <w:sz w:val="22"/>
              </w:rPr>
            </w:pPr>
            <w:r>
              <w:rPr>
                <w:b/>
                <w:sz w:val="22"/>
              </w:rPr>
              <w:t xml:space="preserve">The </w:t>
            </w:r>
            <w:r>
              <w:rPr>
                <w:b/>
                <w:caps/>
                <w:sz w:val="22"/>
                <w:rPrChange w:id="0" w:author="TALO - B&amp;M User" w:date="2000-08-30T16:42:00Z"/>
              </w:rPr>
              <w:t>Sanwa Bank</w:t>
            </w:r>
            <w:r>
              <w:rPr>
                <w:b/>
                <w:caps/>
                <w:sz w:val="22"/>
              </w:rPr>
              <w:t>, LTD.</w:t>
            </w:r>
            <w:r>
              <w:rPr>
                <w:b/>
                <w:sz w:val="22"/>
              </w:rPr>
              <w:t>, a company organized under the law of Japan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720" w:end="0"/>
        <w:jc w:val="both"/>
        <w:rPr>
          <w:sz w:val="22"/>
        </w:rPr>
      </w:pPr>
      <w:r>
        <w:rPr>
          <w:sz w:val="22"/>
        </w:rPr>
        <w:t>With respect to Party A:  None.</w:t>
      </w:r>
    </w:p>
    <w:p>
      <w:pPr>
        <w:pStyle w:val="Normal"/>
        <w:ind w:start="720" w:end="0"/>
        <w:jc w:val="both"/>
        <w:rPr>
          <w:sz w:val="22"/>
        </w:rPr>
      </w:pPr>
      <w:r>
        <w:rPr>
          <w:sz w:val="22"/>
        </w:rPr>
      </w:r>
    </w:p>
    <w:p>
      <w:pPr>
        <w:pStyle w:val="Normal"/>
        <w:ind w:start="72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snapToGrid w:val="false"/>
              <w:jc w:val="both"/>
              <w:rPr>
                <w:sz w:val="22"/>
              </w:rPr>
            </w:pPr>
            <w:r>
              <w:rPr>
                <w:sz w:val="22"/>
              </w:rPr>
            </w:r>
          </w:p>
        </w:tc>
        <w:tc>
          <w:tcPr>
            <w:tcW w:w="2880" w:type="dxa"/>
            <w:tcBorders/>
          </w:tcPr>
          <w:p>
            <w:pPr>
              <w:pStyle w:val="Normal"/>
              <w:snapToGrid w:val="false"/>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pPr>
      <w:r>
        <w:rPr>
          <w:color w:val="000000"/>
          <w:sz w:val="22"/>
        </w:rPr>
        <w:t xml:space="preserve">(B) </w:t>
      </w:r>
      <w:r>
        <w:rPr>
          <w:b/>
          <w:color w:val="000000"/>
          <w:sz w:val="22"/>
        </w:rPr>
        <w:t>“Threshold”</w:t>
      </w:r>
      <w:r>
        <w:rPr>
          <w:color w:val="000000"/>
          <w:sz w:val="22"/>
        </w:rPr>
        <w:t xml:space="preserve"> means with respect to Party A, U.S. $10,000,000 and with respect to Party B, U.S. $10,000,000;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rPr>
      </w:pPr>
      <w:r>
        <w:rPr>
          <w:color w:val="000000"/>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$0.</w:t>
      </w:r>
    </w:p>
    <w:p>
      <w:pPr>
        <w:pStyle w:val="Normal"/>
        <w:ind w:start="720" w:end="0"/>
        <w:jc w:val="both"/>
        <w:rPr>
          <w:sz w:val="22"/>
        </w:rPr>
      </w:pPr>
      <w:r>
        <w:rPr>
          <w:sz w:val="22"/>
        </w:rPr>
      </w:r>
    </w:p>
    <w:p>
      <w:pPr>
        <w:pStyle w:val="Normal"/>
        <w:ind w:firstLine="450" w:start="720" w:end="0"/>
        <w:jc w:val="both"/>
        <w:rPr/>
      </w:pPr>
      <w:r>
        <w:rPr>
          <w:b/>
          <w:sz w:val="22"/>
        </w:rPr>
        <w:t>“</w:t>
      </w:r>
      <w:r>
        <w:rPr>
          <w:b/>
          <w:sz w:val="22"/>
        </w:rPr>
        <w:t>Minimum Transfer Amount”</w:t>
      </w:r>
      <w:r>
        <w:rPr>
          <w:sz w:val="22"/>
        </w:rPr>
        <w:t xml:space="preserve"> means with respect to Party B:  U.S. $0.</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$250,000 </w:t>
      </w:r>
      <w:r>
        <w:rPr>
          <w:sz w:val="22"/>
        </w:rPr>
        <w:t xml:space="preserve">and the Return Amount will be rounded down to the nearest integral multiple of U.S. </w:t>
      </w:r>
      <w:r>
        <w:rPr>
          <w:color w:val="000000"/>
          <w:sz w:val="22"/>
        </w:rPr>
        <w:t>$250,000.</w:t>
      </w:r>
    </w:p>
    <w:p>
      <w:pPr>
        <w:pStyle w:val="Normal"/>
        <w:ind w:hanging="720" w:start="720" w:end="0"/>
        <w:jc w:val="both"/>
        <w:rPr>
          <w:color w:val="000000"/>
          <w:sz w:val="22"/>
        </w:rPr>
      </w:pPr>
      <w:r>
        <w:rPr>
          <w:color w:val="000000"/>
          <w:sz w:val="22"/>
        </w:rPr>
      </w:r>
    </w:p>
    <w:p>
      <w:pPr>
        <w:pStyle w:val="Normal"/>
        <w:ind w:hanging="720" w:start="720" w:end="0"/>
        <w:jc w:val="both"/>
        <w:rPr>
          <w:sz w:val="22"/>
        </w:rPr>
      </w:pPr>
      <w:r>
        <w:rPr>
          <w:sz w:val="22"/>
        </w:rPr>
        <w:t xml:space="preserve">(c)  </w:t>
        <w:tab/>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Tokyo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r>
              <w:rPr>
                <w:rStyle w:val="FootnoteCharacters"/>
                <w:color w:val="FF0000"/>
                <w:sz w:val="22"/>
              </w:rPr>
              <w:t xml:space="preserve"> </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vertAlign w:val="superscript"/>
              </w:rPr>
            </w:pPr>
            <w:r>
              <w:rPr>
                <w:sz w:val="22"/>
              </w:rPr>
              <w:t>None</w:t>
            </w:r>
          </w:p>
        </w:tc>
      </w:tr>
    </w:tbl>
    <w:p>
      <w:pPr>
        <w:pStyle w:val="Normal"/>
        <w:ind w:hanging="720" w:start="720" w:end="0"/>
        <w:jc w:val="both"/>
        <w:rPr>
          <w:sz w:val="22"/>
        </w:rPr>
      </w:pPr>
      <w:r>
        <w:rPr>
          <w:sz w:val="22"/>
        </w:rPr>
        <w:t xml:space="preserve">(e)  </w:t>
        <w:tab/>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tab/>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Tokyo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 with respect to cash, the face amount thereof.</w:t>
      </w:r>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720" w:end="0"/>
        <w:jc w:val="both"/>
        <w:rPr>
          <w:b/>
          <w:sz w:val="22"/>
        </w:rPr>
      </w:pPr>
      <w:r>
        <w:rPr>
          <w:b/>
          <w:sz w:val="22"/>
        </w:rPr>
      </w:r>
    </w:p>
    <w:p>
      <w:pPr>
        <w:pStyle w:val="Normal"/>
        <w:ind w:hanging="720" w:start="720" w:end="0"/>
        <w:jc w:val="both"/>
        <w:rPr>
          <w:sz w:val="22"/>
        </w:rPr>
      </w:pPr>
      <w:r>
        <w:rPr>
          <w:color w:val="FF0000"/>
          <w:sz w:val="22"/>
        </w:rPr>
        <w:t xml:space="preserve"> </w:t>
      </w: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Enron Corp. has a Credit Rating from S&amp;P and the lowest Credit Rating for Enron Corp. is “BBB-” or higher by S&amp;P or “Baa3” or higher by Moody’s.</w:t>
      </w:r>
    </w:p>
    <w:p>
      <w:pPr>
        <w:pStyle w:val="Normal"/>
        <w:ind w:start="1080" w:end="0"/>
        <w:jc w:val="both"/>
        <w:rPr>
          <w:sz w:val="22"/>
        </w:rPr>
      </w:pPr>
      <w:r>
        <w:rPr>
          <w:sz w:val="22"/>
        </w:rPr>
      </w:r>
    </w:p>
    <w:p>
      <w:pPr>
        <w:pStyle w:val="BodyTextIndent"/>
        <w:widowControl/>
        <w:spacing w:lineRule="auto" w:line="240"/>
        <w:ind w:start="1080" w:end="0"/>
        <w:rPr/>
      </w:pPr>
      <w:r>
        <w:rPr/>
        <w:t>(2) Posted Collateral may be held only in the following jurisdictions:  Japan or any jurisdiction within the United States.</w:t>
      </w:r>
    </w:p>
    <w:p>
      <w:pPr>
        <w:pStyle w:val="BodyTextIndent"/>
        <w:widowControl/>
        <w:spacing w:lineRule="auto" w:line="240"/>
        <w:ind w:start="1080" w:end="0"/>
        <w:rPr/>
      </w:pPr>
      <w:r>
        <w:rPr/>
      </w:r>
    </w:p>
    <w:p>
      <w:pPr>
        <w:pStyle w:val="BodyTextIndent"/>
        <w:widowControl/>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rPr>
      </w:pPr>
      <w:r>
        <w:rPr>
          <w:sz w:val="22"/>
        </w:rPr>
      </w:r>
    </w:p>
    <w:p>
      <w:pPr>
        <w:pStyle w:val="Normal"/>
        <w:ind w:start="720" w:end="0"/>
        <w:jc w:val="both"/>
        <w:rPr/>
      </w:pPr>
      <w:r>
        <w:rPr>
          <w:sz w:val="22"/>
        </w:rPr>
        <w:t xml:space="preserve">(ii) Party B and its Custodian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pPr>
      <w:r>
        <w:rPr>
          <w:sz w:val="22"/>
        </w:rPr>
        <w:t>(1) Party B is not a Defaulting Party has a Credit Rating</w:t>
      </w:r>
      <w:r>
        <w:rPr>
          <w:color w:val="000000"/>
          <w:sz w:val="22"/>
        </w:rPr>
        <w:t xml:space="preserve"> from S&amp;P</w:t>
      </w:r>
      <w:r>
        <w:rPr>
          <w:sz w:val="22"/>
        </w:rPr>
        <w:t xml:space="preserve"> and the lowest Credit Rating for it is “BBB-” or higher by S&amp;P.</w:t>
      </w:r>
    </w:p>
    <w:p>
      <w:pPr>
        <w:pStyle w:val="Normal"/>
        <w:ind w:start="1080" w:end="0"/>
        <w:jc w:val="both"/>
        <w:rPr>
          <w:sz w:val="22"/>
        </w:rPr>
      </w:pPr>
      <w:r>
        <w:rPr>
          <w:sz w:val="22"/>
        </w:rPr>
      </w:r>
    </w:p>
    <w:p>
      <w:pPr>
        <w:pStyle w:val="Normal"/>
        <w:ind w:start="1080" w:end="0"/>
        <w:jc w:val="both"/>
        <w:rPr>
          <w:color w:val="FF0000"/>
          <w:sz w:val="22"/>
        </w:rPr>
      </w:pPr>
      <w:r>
        <w:rPr>
          <w:sz w:val="22"/>
        </w:rPr>
        <w:t>(2) Posted Collateral may be held only in the following jurisdictions:  Japan or any jurisdiction in the United States.</w:t>
      </w:r>
    </w:p>
    <w:p>
      <w:pPr>
        <w:pStyle w:val="BodyTextIndent"/>
        <w:widowControl/>
        <w:spacing w:lineRule="auto" w:line="240"/>
        <w:ind w:start="1080" w:end="0"/>
        <w:rPr>
          <w:color w:val="FF0000"/>
          <w:sz w:val="22"/>
        </w:rPr>
      </w:pPr>
      <w:r>
        <w:rPr>
          <w:color w:val="FF0000"/>
          <w:sz w:val="22"/>
        </w:rPr>
      </w:r>
    </w:p>
    <w:p>
      <w:pPr>
        <w:pStyle w:val="BodyTextIndent"/>
        <w:widowControl/>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rPr>
      </w:pPr>
      <w:r>
        <w:rPr>
          <w:color w:val="0000FF"/>
          <w:sz w:val="22"/>
        </w:rPr>
      </w:r>
    </w:p>
    <w:p>
      <w:pPr>
        <w:pStyle w:val="BodyTextIndent3"/>
        <w:rPr/>
      </w:pPr>
      <w:r>
        <w:rPr/>
        <w:t>If a party or its Custodian is not eligible to hold Posted Collateral pursuant to this Section, then it shall be considered a “Downgraded Party” (as defined in Paragraph 13(g)(ii)) and Posted Collateral shall be maintained in accordance with Paragraphs 13(g)(ii) and 13(h)(iii).</w:t>
      </w:r>
    </w:p>
    <w:p>
      <w:pPr>
        <w:pStyle w:val="Normal"/>
        <w:ind w:hanging="720" w:start="216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partyor its Custodian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and</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bank organized under the laws of Japan,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72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rPr>
      </w:pPr>
      <w:r>
        <w:rPr>
          <w:sz w:val="22"/>
        </w:rPr>
      </w:r>
    </w:p>
    <w:p>
      <w:pPr>
        <w:pStyle w:val="Norma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ind w:hanging="720" w:start="1440" w:end="0"/>
        <w:jc w:val="both"/>
        <w:rPr>
          <w:sz w:val="22"/>
        </w:rPr>
      </w:pPr>
      <w:r>
        <w:rPr>
          <w:sz w:val="22"/>
        </w:rPr>
      </w:r>
    </w:p>
    <w:p>
      <w:pPr>
        <w:pStyle w:val="Normal"/>
        <w:ind w:start="720" w:end="0"/>
        <w:jc w:val="both"/>
        <w:rPr>
          <w:sz w:val="22"/>
        </w:rPr>
      </w:pPr>
      <w:r>
        <w:rPr>
          <w:sz w:val="22"/>
        </w:rPr>
        <w:t>(A)  If the provisions of Paragraph 6(c) do not apply to a party as a result of a Credit Rating Event described in Paragraph 13(g)(ii), the provisions of Paragraphs 6(d)(i) and 6(d)(ii) will not apply.</w:t>
      </w:r>
    </w:p>
    <w:p>
      <w:pPr>
        <w:pStyle w:val="Normal"/>
        <w:ind w:start="720" w:end="0"/>
        <w:jc w:val="both"/>
        <w:rPr>
          <w:sz w:val="22"/>
        </w:rPr>
      </w:pPr>
      <w:r>
        <w:rPr>
          <w:sz w:val="22"/>
        </w:rPr>
      </w:r>
    </w:p>
    <w:p>
      <w:pPr>
        <w:pStyle w:val="Normal"/>
        <w:ind w:start="72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Normal"/>
        <w:jc w:val="both"/>
        <w:rPr>
          <w:sz w:val="22"/>
        </w:rPr>
      </w:pPr>
      <w:r>
        <w:rPr>
          <w:sz w:val="22"/>
        </w:rPr>
      </w:r>
    </w:p>
    <w:p>
      <w:pPr>
        <w:pStyle w:val="Normal"/>
        <w:ind w:start="720" w:end="0"/>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ind w:hanging="720" w:start="720" w:end="0"/>
        <w:jc w:val="both"/>
        <w:rPr>
          <w:sz w:val="22"/>
        </w:rPr>
      </w:pPr>
      <w:r>
        <w:rPr>
          <w:sz w:val="22"/>
        </w:rPr>
        <w:t>(k)</w:t>
        <w:tab/>
      </w:r>
      <w:r>
        <w:rPr>
          <w:b/>
          <w:sz w:val="22"/>
        </w:rPr>
        <w:t>Demands and Notices.</w:t>
      </w:r>
    </w:p>
    <w:p>
      <w:pPr>
        <w:pStyle w:val="Normal"/>
        <w:jc w:val="both"/>
        <w:rPr>
          <w:sz w:val="22"/>
        </w:rPr>
      </w:pPr>
      <w:r>
        <w:rPr>
          <w:sz w:val="22"/>
        </w:rPr>
      </w:r>
    </w:p>
    <w:p>
      <w:pPr>
        <w:pStyle w:val="BodyTextIndent3"/>
        <w:rPr/>
      </w:pPr>
      <w:r>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(l)</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bank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Material Adverse Change”</w:t>
      </w:r>
      <w:r>
        <w:rPr>
          <w:sz w:val="22"/>
        </w:rPr>
        <w:t xml:space="preserve"> means (a) with respect to Party A, Enron Corp.’s Credit Rating is below “BBB-” by S&amp;P and below “Baa3” by Moody’s or Enron Corp. fails to have a Credit Rating from S&amp;P and Moody’s; or (b) with respect to Party B, its Credit Rating is below “BBB-” by S&amp;P or it fails to have a Credit Rating from S&amp;P.</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pStyle w:val="Normal"/>
        <w:ind w:hanging="720" w:start="720" w:end="0"/>
        <w:jc w:val="both"/>
        <w:rPr>
          <w:sz w:val="22"/>
        </w:rPr>
      </w:pPr>
      <w:r>
        <w:rPr>
          <w:sz w:val="22"/>
        </w:rPr>
      </w:r>
    </w:p>
    <w:p>
      <w:pPr>
        <w:pStyle w:val="Normal"/>
        <w:ind w:start="720" w:end="0"/>
        <w:jc w:val="both"/>
        <w:rPr>
          <w:sz w:val="22"/>
        </w:rPr>
      </w:pPr>
      <w:r>
        <w:rPr>
          <w:sz w:val="22"/>
        </w:rPr>
        <w:t>(iv)  Paragraph 3(b) is hereby amended by adding the following after the phrase “(rounded pursuant to Paragraph 13)” in the fifth line thereof:</w:t>
      </w:r>
    </w:p>
    <w:p>
      <w:pPr>
        <w:pStyle w:val="Normal"/>
        <w:ind w:start="720" w:end="0"/>
        <w:jc w:val="both"/>
        <w:rPr>
          <w:sz w:val="22"/>
        </w:rPr>
      </w:pPr>
      <w:r>
        <w:rPr>
          <w:sz w:val="22"/>
        </w:rPr>
      </w:r>
    </w:p>
    <w:p>
      <w:pPr>
        <w:sectPr>
          <w:type w:val="nextPage"/>
          <w:pgSz w:w="12240" w:h="15840"/>
          <w:pgMar w:left="1080" w:right="1080" w:gutter="0" w:header="0" w:top="1440" w:footer="0" w:bottom="1440"/>
          <w:pgNumType w:start="1" w:fmt="decimal"/>
          <w:formProt w:val="false"/>
          <w:textDirection w:val="lrTb"/>
          <w:docGrid w:type="default" w:linePitch="360" w:charSpace="0"/>
        </w:sectPr>
        <w:pStyle w:val="Normal"/>
        <w:ind w:start="720" w:end="0"/>
        <w:jc w:val="both"/>
        <w:rPr/>
      </w:pPr>
      <w:r>
        <w:rPr>
          <w:sz w:val="22"/>
        </w:rPr>
        <w:t>“</w:t>
      </w:r>
      <w:r>
        <w:rPr>
          <w:sz w:val="22"/>
        </w:rPr>
        <w:t xml:space="preserve">; </w:t>
      </w:r>
      <w:r>
        <w:rPr>
          <w:sz w:val="22"/>
          <w:u w:val="single"/>
        </w:rPr>
        <w:t>provided</w:t>
      </w:r>
      <w:r>
        <w:rPr>
          <w:sz w:val="22"/>
        </w:rPr>
        <w:t xml:space="preserve">, </w:t>
      </w:r>
      <w:r>
        <w:rPr>
          <w:sz w:val="22"/>
          <w:u w:val="single"/>
        </w:rPr>
        <w:t>however</w:t>
      </w:r>
      <w:r>
        <w:rPr>
          <w:sz w:val="22"/>
        </w:rPr>
        <w:t>, that the Secured Party will, upon the Pledgor’s request, Transfer to the Pledgor all Posted Credit Support if the amount of such Posted Credit Support is material and if the Pledgor’s Credit Support Amount is zero.”</w:t>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(a)  </w:t>
        <w:tab/>
        <w:t>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hanging="720" w:start="720" w:end="0"/>
        <w:jc w:val="both"/>
        <w:rPr>
          <w:sz w:val="22"/>
        </w:rPr>
      </w:pPr>
      <w:r>
        <w:rPr>
          <w:sz w:val="22"/>
        </w:rPr>
      </w:r>
    </w:p>
    <w:p>
      <w:pPr>
        <w:pStyle w:val="Normal"/>
        <w:ind w:hanging="720" w:start="720" w:end="0"/>
        <w:jc w:val="both"/>
        <w:rPr/>
      </w:pPr>
      <w:r>
        <w:rPr>
          <w:sz w:val="22"/>
        </w:rPr>
        <w:t xml:space="preserve">(b)  </w:t>
        <w:tab/>
        <w:t xml:space="preserve">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(c)  </w:t>
        <w:tab/>
        <w:t>As one method of providing additional Posted Credit Support, X may increase the amount of an outstanding Letter of Credit or establish one or more additional Letters of Credit.</w:t>
      </w:r>
    </w:p>
    <w:p>
      <w:pPr>
        <w:pStyle w:val="Normal"/>
        <w:ind w:hanging="720" w:start="1440" w:end="0"/>
        <w:jc w:val="both"/>
        <w:rPr>
          <w:sz w:val="22"/>
        </w:rPr>
      </w:pPr>
      <w:r>
        <w:rPr>
          <w:sz w:val="22"/>
        </w:rPr>
      </w:r>
    </w:p>
    <w:p>
      <w:pPr>
        <w:pStyle w:val="Normal"/>
        <w:tabs>
          <w:tab w:val="left" w:pos="720" w:leader="none"/>
        </w:tabs>
        <w:ind w:hanging="720" w:start="72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hanging="720" w:start="1440" w:end="0"/>
        <w:jc w:val="both"/>
        <w:rPr>
          <w:sz w:val="22"/>
        </w:rPr>
      </w:pPr>
      <w:r>
        <w:rPr>
          <w:sz w:val="22"/>
        </w:rPr>
      </w:r>
    </w:p>
    <w:p>
      <w:pPr>
        <w:pStyle w:val="Normal"/>
        <w:ind w:hanging="360" w:start="720" w:end="0"/>
        <w:jc w:val="both"/>
        <w:rPr>
          <w:sz w:val="22"/>
        </w:rPr>
      </w:pPr>
      <w:r>
        <w:rPr>
          <w:sz w:val="22"/>
        </w:rPr>
        <w:t xml:space="preserve">(ii) </w:t>
        <w:tab/>
        <w:t>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hanging="720" w:start="720" w:end="0"/>
        <w:jc w:val="both"/>
        <w:rPr>
          <w:sz w:val="22"/>
        </w:rPr>
      </w:pPr>
      <w:r>
        <w:rPr>
          <w:sz w:val="22"/>
        </w:rPr>
        <w:t xml:space="preserve">(e)  </w:t>
        <w:tab/>
        <w:t>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tab/>
        <w:t>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hanging="720" w:start="720" w:end="0"/>
        <w:jc w:val="both"/>
        <w:rPr>
          <w:sz w:val="22"/>
        </w:rPr>
      </w:pPr>
      <w:r>
        <w:rPr>
          <w:sz w:val="22"/>
        </w:rPr>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Style w:val="Normal"/>
        <w:ind w:hanging="720" w:start="720" w:end="0"/>
        <w:jc w:val="both"/>
        <w:rPr/>
      </w:pPr>
      <w:r>
        <w:rPr>
          <w:sz w:val="22"/>
        </w:rPr>
        <w:t xml:space="preserve">(g)  </w:t>
        <w:tab/>
        <w:t xml:space="preserve">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ind w:hanging="0" w:start="0"/>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2"/>
        </w:numPr>
        <w:spacing w:lineRule="exact" w:line="240"/>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Justified"/>
        <w:spacing w:lineRule="exact" w:line="240" w:before="0" w:after="0"/>
        <w:rPr>
          <w:rFonts w:ascii="Times New Roman" w:hAnsi="Times New Roman" w:cs="Times New Roman"/>
          <w:sz w:val="22"/>
        </w:rPr>
      </w:pPr>
      <w:r>
        <w:rPr>
          <w:rFonts w:cs="Times New Roman" w:ascii="Times New Roman" w:hAnsi="Times New Roman"/>
          <w:sz w:val="22"/>
        </w:rPr>
      </w:r>
    </w:p>
    <w:p>
      <w:pPr>
        <w:pStyle w:val="Normal"/>
        <w:numPr>
          <w:ilvl w:val="0"/>
          <w:numId w:val="2"/>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rPr>
      </w:pPr>
      <w:r>
        <w:rPr>
          <w:sz w:val="22"/>
        </w:rPr>
      </w:r>
    </w:p>
    <w:p>
      <w:pPr>
        <w:pStyle w:val="BodyTextIndent"/>
        <w:ind w:start="0" w:end="0"/>
        <w:rPr/>
      </w:pPr>
      <w:r>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jc w:val="both"/>
        <w:rPr/>
      </w:pPr>
      <w:r>
        <w:rPr/>
      </w:r>
    </w:p>
    <w:p>
      <w:pPr>
        <w:pStyle w:val="BodyText"/>
        <w:spacing w:lineRule="exact" w:line="24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pStyle w:val="Normal"/>
        <w:keepLines/>
        <w:spacing w:lineRule="exact" w:line="240"/>
        <w:jc w:val="center"/>
        <w:rPr>
          <w:sz w:val="22"/>
        </w:rPr>
      </w:pPr>
      <w:r>
        <w:rPr>
          <w:sz w:val="22"/>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8"/>
      </w:rPr>
    </w:pPr>
    <w:r>
      <w:rPr>
        <w:sz w:val="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bCs/>
      <w:sz w:val="22"/>
      <w:szCs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spacing w:lineRule="exact" w:line="240"/>
      <w:jc w:val="center"/>
      <w:outlineLvl w:val="2"/>
    </w:pPr>
    <w:rPr>
      <w:b/>
      <w:bCs/>
      <w:sz w:val="22"/>
      <w:szCs w:val="22"/>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w:hAnsi="Arial" w:cs="Arial"/>
      <w:sz w:val="22"/>
      <w:szCs w:val="22"/>
    </w:rPr>
  </w:style>
  <w:style w:type="paragraph" w:styleId="BodyTextIndent2">
    <w:name w:val="Body Text Indent 2"/>
    <w:basedOn w:val="Normal"/>
    <w:qFormat/>
    <w:pPr>
      <w:ind w:hanging="0" w:start="-18" w:end="0"/>
    </w:pPr>
    <w:rPr>
      <w:b/>
      <w:bCs/>
      <w:sz w:val="22"/>
      <w:szCs w:val="22"/>
      <w:u w:val="single"/>
    </w:rPr>
  </w:style>
  <w:style w:type="paragraph" w:styleId="BodyTextIndent">
    <w:name w:val="Body Text Indent"/>
    <w:basedOn w:val="Normal"/>
    <w:pPr>
      <w:widowControl w:val="false"/>
      <w:spacing w:lineRule="exact" w:line="240"/>
      <w:ind w:hanging="0" w:start="720" w:end="0"/>
      <w:jc w:val="both"/>
    </w:pPr>
    <w:rPr>
      <w:sz w:val="22"/>
      <w:szCs w:val="22"/>
    </w:rPr>
  </w:style>
  <w:style w:type="paragraph" w:styleId="BodyTextIndent3">
    <w:name w:val="Body Text Indent 3"/>
    <w:basedOn w:val="Normal"/>
    <w:qFormat/>
    <w:pPr>
      <w:ind w:hanging="0" w:start="72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2"/>
    </w:rPr>
  </w:style>
  <w:style w:type="paragraph" w:styleId="Expanded">
    <w:name w:val="Expanded"/>
    <w:basedOn w:val="Normal"/>
    <w:next w:val="Normal"/>
    <w:qFormat/>
    <w:pPr>
      <w:spacing w:before="0" w:after="240"/>
      <w:jc w:val="center"/>
    </w:pPr>
    <w:rPr>
      <w:b/>
      <w:bCs/>
      <w:caps/>
      <w:spacing w:val="60"/>
      <w:sz w:val="22"/>
      <w:szCs w:val="22"/>
    </w:rPr>
  </w:style>
  <w:style w:type="paragraph" w:styleId="FootnoteText">
    <w:name w:val="footnote text"/>
    <w:basedOn w:val="Normal"/>
    <w:pPr/>
    <w:rPr>
      <w:sz w:val="22"/>
      <w:szCs w:val="22"/>
    </w:rPr>
  </w:style>
  <w:style w:type="paragraph" w:styleId="Footer">
    <w:name w:val="footer"/>
    <w:basedOn w:val="Normal"/>
    <w:pPr>
      <w:tabs>
        <w:tab w:val="clear" w:pos="720"/>
        <w:tab w:val="center" w:pos="4320" w:leader="none"/>
        <w:tab w:val="right" w:pos="8640" w:leader="none"/>
      </w:tabs>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2000-08-30T04:36:00Z</dcterms:created>
  <dc:creator>mheard</dc:creator>
  <dc:description/>
  <dc:language>en-CA</dc:language>
  <cp:lastModifiedBy>TALO - B&amp;M User</cp:lastModifiedBy>
  <cp:lastPrinted>2000-07-17T14:11:00Z</cp:lastPrinted>
  <dcterms:modified xsi:type="dcterms:W3CDTF">2000-08-30T05:23:00Z</dcterms:modified>
  <cp:revision>6</cp:revision>
  <dc:subject/>
  <dc:title>ISDA EXHIBITS DOCUMENT</dc:title>
</cp:coreProperties>
</file>