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Santa Clara Gas Supply Term Sheet</w:t>
      </w:r>
    </w:p>
    <w:p>
      <w:pPr>
        <w:pStyle w:val="Heading"/>
        <w:rPr>
          <w:sz w:val="24"/>
        </w:rPr>
      </w:pPr>
      <w:r>
        <w:rPr>
          <w:sz w:val="24"/>
        </w:rPr>
      </w:r>
    </w:p>
    <w:p>
      <w:pPr>
        <w:pStyle w:val="Heading"/>
        <w:rPr>
          <w:b w:val="false"/>
          <w:bCs w:val="false"/>
          <w:sz w:val="24"/>
        </w:rPr>
      </w:pPr>
      <w:r>
        <w:rPr>
          <w:sz w:val="24"/>
        </w:rPr>
        <w:t>September 26, 2001</w:t>
      </w:r>
    </w:p>
    <w:p>
      <w:pPr>
        <w:pStyle w:val="Heading"/>
        <w:jc w:val="start"/>
        <w:rPr>
          <w:b w:val="false"/>
          <w:bCs w:val="false"/>
          <w:sz w:val="24"/>
        </w:rPr>
      </w:pPr>
      <w:r>
        <w:rPr>
          <w:b w:val="false"/>
          <w:bCs w:val="false"/>
          <w:sz w:val="24"/>
        </w:rPr>
      </w:r>
    </w:p>
    <w:p>
      <w:pPr>
        <w:pStyle w:val="Heading"/>
        <w:jc w:val="start"/>
        <w:rPr/>
      </w:pPr>
      <w:r>
        <w:rPr>
          <w:sz w:val="24"/>
        </w:rPr>
        <w:t>Seller</w:t>
      </w:r>
      <w:r>
        <w:rPr>
          <w:b w:val="false"/>
          <w:bCs w:val="false"/>
          <w:sz w:val="24"/>
        </w:rPr>
        <w:t>:</w:t>
        <w:tab/>
        <w:t>Enron North America (ENA)</w:t>
      </w:r>
    </w:p>
    <w:p>
      <w:pPr>
        <w:pStyle w:val="Heading"/>
        <w:jc w:val="start"/>
        <w:rPr>
          <w:b w:val="false"/>
          <w:bCs w:val="false"/>
          <w:sz w:val="24"/>
        </w:rPr>
      </w:pPr>
      <w:r>
        <w:rPr>
          <w:b w:val="false"/>
          <w:bCs w:val="false"/>
          <w:sz w:val="24"/>
        </w:rPr>
      </w:r>
    </w:p>
    <w:p>
      <w:pPr>
        <w:pStyle w:val="Heading"/>
        <w:jc w:val="start"/>
        <w:rPr/>
      </w:pPr>
      <w:r>
        <w:rPr>
          <w:sz w:val="24"/>
        </w:rPr>
        <w:t>Buyer</w:t>
      </w:r>
      <w:r>
        <w:rPr>
          <w:b w:val="false"/>
          <w:bCs w:val="false"/>
          <w:sz w:val="24"/>
        </w:rPr>
        <w:t>: Santa Clara</w:t>
      </w:r>
    </w:p>
    <w:p>
      <w:pPr>
        <w:pStyle w:val="Heading"/>
        <w:jc w:val="start"/>
        <w:rPr>
          <w:b w:val="false"/>
          <w:bCs w:val="false"/>
          <w:sz w:val="24"/>
        </w:rPr>
      </w:pPr>
      <w:r>
        <w:rPr>
          <w:b w:val="false"/>
          <w:bCs w:val="false"/>
          <w:sz w:val="24"/>
        </w:rPr>
      </w:r>
    </w:p>
    <w:p>
      <w:pPr>
        <w:pStyle w:val="Heading"/>
        <w:jc w:val="start"/>
        <w:rPr/>
      </w:pPr>
      <w:r>
        <w:rPr>
          <w:sz w:val="24"/>
        </w:rPr>
        <w:t>Delivery Point</w:t>
      </w:r>
      <w:r>
        <w:rPr>
          <w:b w:val="false"/>
          <w:bCs w:val="false"/>
          <w:sz w:val="24"/>
        </w:rPr>
        <w:t>:  PG&amp;E City Gate</w:t>
      </w:r>
    </w:p>
    <w:p>
      <w:pPr>
        <w:pStyle w:val="Heading"/>
        <w:jc w:val="start"/>
        <w:rPr>
          <w:b w:val="false"/>
          <w:bCs w:val="false"/>
          <w:sz w:val="24"/>
        </w:rPr>
      </w:pPr>
      <w:r>
        <w:rPr>
          <w:b w:val="false"/>
          <w:bCs w:val="false"/>
          <w:sz w:val="24"/>
        </w:rPr>
      </w:r>
    </w:p>
    <w:p>
      <w:pPr>
        <w:pStyle w:val="Heading"/>
        <w:jc w:val="start"/>
        <w:rPr/>
      </w:pPr>
      <w:r>
        <w:rPr>
          <w:sz w:val="24"/>
        </w:rPr>
        <w:t>Quantity</w:t>
      </w:r>
      <w:r>
        <w:rPr>
          <w:b w:val="false"/>
          <w:bCs w:val="false"/>
          <w:sz w:val="24"/>
        </w:rPr>
        <w:t>: to be determined</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r>
    </w:p>
    <w:p>
      <w:pPr>
        <w:pStyle w:val="Heading"/>
        <w:jc w:val="start"/>
        <w:rPr/>
      </w:pPr>
      <w:r>
        <w:rPr>
          <w:sz w:val="24"/>
        </w:rPr>
        <w:t>Product 1</w:t>
      </w:r>
      <w:r>
        <w:rPr>
          <w:b w:val="false"/>
          <w:bCs w:val="false"/>
          <w:sz w:val="24"/>
        </w:rPr>
        <w:t xml:space="preserve">:  </w:t>
      </w:r>
      <w:r>
        <w:rPr>
          <w:sz w:val="24"/>
        </w:rPr>
        <w:t>Gas Daily Calls – physical</w:t>
      </w:r>
    </w:p>
    <w:p>
      <w:pPr>
        <w:pStyle w:val="Heading"/>
        <w:jc w:val="start"/>
        <w:rPr>
          <w:sz w:val="24"/>
        </w:rPr>
      </w:pPr>
      <w:r>
        <w:rPr>
          <w:sz w:val="24"/>
        </w:rPr>
      </w:r>
    </w:p>
    <w:p>
      <w:pPr>
        <w:pStyle w:val="Heading"/>
        <w:jc w:val="start"/>
        <w:rPr>
          <w:b w:val="false"/>
          <w:bCs w:val="false"/>
          <w:sz w:val="24"/>
        </w:rPr>
      </w:pPr>
      <w:r>
        <w:rPr>
          <w:b w:val="false"/>
          <w:bCs w:val="false"/>
          <w:sz w:val="24"/>
        </w:rPr>
        <w:t>Term:</w:t>
        <w:tab/>
        <w:t>Q1 – January 1, 2002 through March 31, 2002</w:t>
      </w:r>
    </w:p>
    <w:p>
      <w:pPr>
        <w:pStyle w:val="Heading"/>
        <w:jc w:val="start"/>
        <w:rPr>
          <w:b w:val="false"/>
          <w:bCs w:val="false"/>
          <w:sz w:val="24"/>
        </w:rPr>
      </w:pPr>
      <w:r>
        <w:rPr>
          <w:b w:val="false"/>
          <w:bCs w:val="false"/>
          <w:sz w:val="24"/>
        </w:rPr>
        <w:t>Strike:  $3.09 (@ the money)</w:t>
      </w:r>
    </w:p>
    <w:p>
      <w:pPr>
        <w:pStyle w:val="Heading"/>
        <w:jc w:val="start"/>
        <w:rPr>
          <w:b w:val="false"/>
          <w:bCs w:val="false"/>
          <w:sz w:val="24"/>
        </w:rPr>
      </w:pPr>
      <w:r>
        <w:rPr>
          <w:b w:val="false"/>
          <w:bCs w:val="false"/>
          <w:sz w:val="24"/>
        </w:rPr>
        <w:t>Premium:  $.40</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t>Santa Clara shall notify ENA by 8:30 a.m. CPT of the scheduling day prior to delivery period.</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t>The Premium for a physical gas daily call option $.50 out of the money (with a strike of $3.59) would be $.35.</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r>
    </w:p>
    <w:p>
      <w:pPr>
        <w:pStyle w:val="Heading"/>
        <w:jc w:val="start"/>
        <w:rPr>
          <w:sz w:val="24"/>
        </w:rPr>
      </w:pPr>
      <w:r>
        <w:rPr>
          <w:sz w:val="24"/>
        </w:rPr>
        <w:t>Product 2:  Fixed Price Financial Swaps</w:t>
      </w:r>
    </w:p>
    <w:p>
      <w:pPr>
        <w:pStyle w:val="Heading"/>
        <w:jc w:val="start"/>
        <w:rPr>
          <w:sz w:val="24"/>
        </w:rPr>
      </w:pPr>
      <w:r>
        <w:rPr>
          <w:sz w:val="24"/>
        </w:rPr>
      </w:r>
    </w:p>
    <w:p>
      <w:pPr>
        <w:pStyle w:val="Heading"/>
        <w:jc w:val="start"/>
        <w:rPr>
          <w:b w:val="false"/>
          <w:bCs w:val="false"/>
          <w:sz w:val="24"/>
        </w:rPr>
      </w:pPr>
      <w:r>
        <w:rPr>
          <w:b w:val="false"/>
          <w:bCs w:val="false"/>
          <w:sz w:val="24"/>
        </w:rPr>
        <w:t>Term:  Q1 – January 1, 2002 through March 31, 2002</w:t>
      </w:r>
    </w:p>
    <w:p>
      <w:pPr>
        <w:pStyle w:val="Heading"/>
        <w:jc w:val="start"/>
        <w:rPr>
          <w:b w:val="false"/>
          <w:bCs w:val="false"/>
          <w:sz w:val="24"/>
        </w:rPr>
      </w:pPr>
      <w:r>
        <w:rPr>
          <w:b w:val="false"/>
          <w:bCs w:val="false"/>
          <w:sz w:val="24"/>
        </w:rPr>
        <w:t>Price:  $3.155</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t>Term:  Q2 – April 1, 2002 through June 30, 2002</w:t>
      </w:r>
    </w:p>
    <w:p>
      <w:pPr>
        <w:pStyle w:val="Heading"/>
        <w:jc w:val="start"/>
        <w:rPr>
          <w:b w:val="false"/>
          <w:bCs w:val="false"/>
          <w:sz w:val="24"/>
        </w:rPr>
      </w:pPr>
      <w:r>
        <w:rPr>
          <w:b w:val="false"/>
          <w:bCs w:val="false"/>
          <w:sz w:val="24"/>
        </w:rPr>
        <w:t>Price:  $3.055</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t>Term:  Winter – November 1, 2001 through March, 2002</w:t>
      </w:r>
    </w:p>
    <w:p>
      <w:pPr>
        <w:pStyle w:val="Heading"/>
        <w:jc w:val="start"/>
        <w:rPr>
          <w:b w:val="false"/>
          <w:bCs w:val="false"/>
          <w:sz w:val="24"/>
        </w:rPr>
      </w:pPr>
      <w:r>
        <w:rPr>
          <w:b w:val="false"/>
          <w:bCs w:val="false"/>
          <w:sz w:val="24"/>
        </w:rPr>
        <w:t>Price:  $2.98</w:t>
      </w:r>
    </w:p>
    <w:p>
      <w:pPr>
        <w:pStyle w:val="Heading"/>
        <w:jc w:val="start"/>
        <w:rPr>
          <w:b w:val="false"/>
          <w:bCs w:val="false"/>
          <w:sz w:val="24"/>
        </w:rPr>
      </w:pPr>
      <w:r>
        <w:rPr>
          <w:b w:val="false"/>
          <w:bCs w:val="false"/>
          <w:sz w:val="24"/>
        </w:rPr>
      </w:r>
    </w:p>
    <w:p>
      <w:pPr>
        <w:pStyle w:val="Heading"/>
        <w:jc w:val="start"/>
        <w:rPr>
          <w:sz w:val="24"/>
        </w:rPr>
      </w:pPr>
      <w:r>
        <w:rPr>
          <w:sz w:val="24"/>
        </w:rPr>
        <w:t>Product 3:  Physical Delivery</w:t>
      </w:r>
    </w:p>
    <w:p>
      <w:pPr>
        <w:pStyle w:val="Heading"/>
        <w:jc w:val="start"/>
        <w:rPr>
          <w:sz w:val="24"/>
        </w:rPr>
      </w:pPr>
      <w:r>
        <w:rPr>
          <w:sz w:val="24"/>
        </w:rPr>
      </w:r>
    </w:p>
    <w:p>
      <w:pPr>
        <w:pStyle w:val="Heading"/>
        <w:jc w:val="start"/>
        <w:rPr>
          <w:b w:val="false"/>
          <w:bCs w:val="false"/>
          <w:sz w:val="24"/>
        </w:rPr>
      </w:pPr>
      <w:r>
        <w:rPr>
          <w:b w:val="false"/>
          <w:bCs w:val="false"/>
          <w:sz w:val="24"/>
        </w:rPr>
        <w:t>Term:  Winter – November 1, 2001 through March, 2002</w:t>
      </w:r>
    </w:p>
    <w:p>
      <w:pPr>
        <w:pStyle w:val="Heading"/>
        <w:jc w:val="start"/>
        <w:rPr>
          <w:b w:val="false"/>
          <w:bCs w:val="false"/>
          <w:sz w:val="24"/>
        </w:rPr>
      </w:pPr>
      <w:r>
        <w:rPr>
          <w:b w:val="false"/>
          <w:bCs w:val="false"/>
          <w:sz w:val="24"/>
        </w:rPr>
        <w:t>Price:  PG&amp;E Monthly Index + $.04  OR   $ 3.02</w:t>
      </w:r>
    </w:p>
    <w:p>
      <w:pPr>
        <w:pStyle w:val="Heading"/>
        <w:jc w:val="start"/>
        <w:rPr>
          <w:b w:val="false"/>
          <w:bCs w:val="false"/>
          <w:sz w:val="24"/>
        </w:rPr>
      </w:pPr>
      <w:r>
        <w:rPr>
          <w:b w:val="false"/>
          <w:bCs w:val="false"/>
          <w:sz w:val="24"/>
        </w:rPr>
      </w:r>
    </w:p>
    <w:p>
      <w:pPr>
        <w:pStyle w:val="Heading"/>
        <w:jc w:val="start"/>
        <w:rPr>
          <w:b w:val="false"/>
          <w:bCs w:val="false"/>
          <w:i/>
          <w:i/>
          <w:iCs/>
          <w:sz w:val="18"/>
        </w:rPr>
      </w:pPr>
      <w:r>
        <w:rPr>
          <w:b w:val="false"/>
          <w:bCs w:val="false"/>
          <w:i/>
          <w:iCs/>
          <w:sz w:val="18"/>
        </w:rPr>
        <w:t>This proposal is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w:t>
      </w:r>
    </w:p>
    <w:p>
      <w:pPr>
        <w:pStyle w:val="Heading"/>
        <w:jc w:val="start"/>
        <w:rPr>
          <w:b w:val="false"/>
          <w:bCs w:val="false"/>
          <w:i/>
          <w:i/>
          <w:iCs/>
          <w:sz w:val="18"/>
        </w:rPr>
      </w:pPr>
      <w:r>
        <w:rPr>
          <w:b w:val="false"/>
          <w:bCs w:val="false"/>
          <w:i/>
          <w:iCs/>
          <w:sz w:val="18"/>
        </w:rPr>
      </w:r>
    </w:p>
    <w:p>
      <w:pPr>
        <w:pStyle w:val="Heading"/>
        <w:jc w:val="start"/>
        <w:rPr>
          <w:b w:val="false"/>
          <w:bCs w:val="false"/>
          <w:i/>
          <w:i/>
          <w:iCs/>
          <w:sz w:val="24"/>
        </w:rPr>
      </w:pPr>
      <w:r>
        <w:rPr>
          <w:b w:val="false"/>
          <w:bCs w:val="false"/>
          <w:i/>
          <w:iCs/>
          <w:sz w:val="24"/>
        </w:rPr>
      </w:r>
    </w:p>
    <w:p>
      <w:pPr>
        <w:pStyle w:val="Heading"/>
        <w:jc w:val="start"/>
        <w:rPr>
          <w:b w:val="false"/>
          <w:bCs w:val="false"/>
          <w:sz w:val="24"/>
        </w:rPr>
      </w:pPr>
      <w:r>
        <w:rPr>
          <w:b w:val="false"/>
          <w:bCs w:val="false"/>
          <w:sz w:val="24"/>
        </w:rPr>
      </w:r>
    </w:p>
    <w:p>
      <w:pPr>
        <w:pStyle w:val="Normal"/>
        <w:jc w:val="center"/>
        <w:rPr>
          <w:b/>
          <w:bCs/>
          <w:sz w:val="32"/>
        </w:rPr>
      </w:pPr>
      <w:r>
        <w:rPr>
          <w:b/>
          <w:bCs/>
          <w:sz w:val="32"/>
        </w:rPr>
      </w:r>
    </w:p>
    <w:p>
      <w:pPr>
        <w:pStyle w:val="Normal"/>
        <w:jc w:val="center"/>
        <w:rPr>
          <w:b/>
          <w:bCs/>
          <w:sz w:val="32"/>
        </w:rPr>
      </w:pPr>
      <w:r>
        <w:rPr>
          <w:b/>
          <w:bCs/>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2001-09-25T19:16:00Z</dcterms:created>
  <dc:creator>kward</dc:creator>
  <dc:description/>
  <dc:language>en-CA</dc:language>
  <cp:lastModifiedBy>kward</cp:lastModifiedBy>
  <dcterms:modified xsi:type="dcterms:W3CDTF">2001-09-26T17:23:00Z</dcterms:modified>
  <cp:revision>5</cp:revision>
  <dc:subject/>
  <dc:title>Santa Clara Gas Supply Term Sheet</dc:title>
</cp:coreProperties>
</file>