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252"/>
          <w:tab w:val="clear" w:pos="8504"/>
        </w:tabs>
        <w:snapToGrid w:val="true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Sankei Shimbun</w:t>
      </w:r>
    </w:p>
    <w:p>
      <w:pPr>
        <w:pStyle w:val="Style11"/>
        <w:spacing w:lineRule="exact" w:line="240"/>
        <w:rPr/>
      </w:pPr>
      <w:r>
        <w:rPr/>
        <w:t>April 18, 2001</w:t>
      </w:r>
    </w:p>
    <w:p>
      <w:pPr>
        <w:pStyle w:val="Normal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Page 1</w:t>
      </w:r>
    </w:p>
    <w:p>
      <w:pPr>
        <w:pStyle w:val="Normal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Circulation: 1,998,000</w:t>
      </w:r>
    </w:p>
    <w:p>
      <w:pPr>
        <w:pStyle w:val="Normal"/>
        <w:spacing w:lineRule="exact" w:line="340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Heading4"/>
        <w:spacing w:lineRule="auto" w:line="240"/>
        <w:ind w:hanging="0" w:start="0"/>
        <w:rPr/>
      </w:pPr>
      <w:r>
        <w:rPr/>
        <w:t>The bright side and dark side of deregulation I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Lessons learned from California (5)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Only power generation companies made profits during the crisis, and are suspected of manipulating prices</w:t>
      </w:r>
    </w:p>
    <w:p>
      <w:pPr>
        <w:pStyle w:val="Normal"/>
        <w:spacing w:lineRule="exact" w:line="34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BodyText"/>
        <w:rPr/>
      </w:pPr>
      <w:r>
        <w:rPr/>
        <w:t xml:space="preserve">The </w:t>
      </w:r>
      <w:r>
        <w:rPr/>
        <w:t>supply</w:t>
      </w:r>
      <w:r>
        <w:rPr/>
        <w:t xml:space="preserve"> of popular brand-name products is sometimes left scarce intentionally.  In such a case, there are always people who purchase the products, high prices are maintained, and profit increases.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People say there exists such a shrewd brand strategy.  Some companies are said to have used a similar technique amid the liberalization of the electricity industry in California.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 xml:space="preserve">The companies earned large profits even after liberalization brought a </w:t>
      </w:r>
      <w:r>
        <w:rPr>
          <w:rFonts w:cs="Times New Roman" w:ascii="Times New Roman" w:hAnsi="Times New Roman"/>
          <w:sz w:val="22"/>
        </w:rPr>
        <w:t>series</w:t>
      </w:r>
      <w:r>
        <w:rPr>
          <w:rFonts w:cs="Times New Roman" w:ascii="Times New Roman" w:hAnsi="Times New Roman"/>
          <w:sz w:val="22"/>
        </w:rPr>
        <w:t xml:space="preserve"> of confusions - retail companies of electricity failed, or shouldered huge debts, while consumers suffered blackouts and were forced to pay high </w:t>
      </w:r>
      <w:r>
        <w:rPr>
          <w:rFonts w:cs="Times New Roman" w:ascii="Times New Roman" w:hAnsi="Times New Roman"/>
          <w:sz w:val="22"/>
        </w:rPr>
        <w:t>electricity</w:t>
      </w:r>
      <w:r>
        <w:rPr>
          <w:rFonts w:cs="Times New Roman" w:ascii="Times New Roman" w:hAnsi="Times New Roman"/>
          <w:sz w:val="22"/>
        </w:rPr>
        <w:t xml:space="preserve"> bills.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Those benefited from the crisis are power generation companies that entered the liberalized market.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 xml:space="preserve">The operating profit of one of such companies, Enron Corp., sharply rose to $100.8 billion for 2000 from $40.1 billion for 1999.  </w:t>
      </w:r>
      <w:r>
        <w:rPr>
          <w:rFonts w:cs="Times New Roman" w:ascii="Times New Roman" w:hAnsi="Times New Roman"/>
          <w:sz w:val="22"/>
        </w:rPr>
        <w:t xml:space="preserve">This is </w:t>
      </w:r>
      <w:r>
        <w:rPr>
          <w:rFonts w:cs="Times New Roman" w:ascii="Times New Roman" w:hAnsi="Times New Roman"/>
          <w:sz w:val="22"/>
        </w:rPr>
        <w:t>a large increase - t</w:t>
      </w:r>
      <w:r>
        <w:rPr>
          <w:rFonts w:cs="Times New Roman" w:ascii="Times New Roman" w:hAnsi="Times New Roman"/>
          <w:sz w:val="22"/>
        </w:rPr>
        <w:t xml:space="preserve">he value for 2000 </w:t>
      </w:r>
      <w:r>
        <w:rPr>
          <w:rFonts w:cs="Times New Roman" w:ascii="Times New Roman" w:hAnsi="Times New Roman"/>
          <w:sz w:val="22"/>
        </w:rPr>
        <w:t>is two and a half times larger than a year ago.  The operating profit of Dynegy, Inc. rose by 91% to $29.4 billion, that of Reliant Energy, Inc. increased by 92% to $29.3 billion, and that of AES Corp. doubled to $6.7 billion.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It is unknown how much of their profit was generated in California, since they have power plants in other states as well.  But it is certain that they made a killing of a record amount of money.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California Governor Gray Davis points out,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 xml:space="preserve">There is no one who earns money as much as power generation </w:t>
      </w:r>
      <w:r>
        <w:rPr>
          <w:rFonts w:cs="Times New Roman" w:ascii="Times New Roman" w:hAnsi="Times New Roman"/>
          <w:sz w:val="22"/>
        </w:rPr>
        <w:t>companies</w:t>
      </w:r>
      <w:r>
        <w:rPr>
          <w:rFonts w:cs="Times New Roman" w:ascii="Times New Roman" w:hAnsi="Times New Roman"/>
          <w:sz w:val="22"/>
        </w:rPr>
        <w:t>.  Obviously, they made a considerable amount of profit in California.</w:t>
      </w:r>
      <w:r>
        <w:rPr>
          <w:rFonts w:cs="Times New Roman" w:ascii="Times New Roman" w:hAnsi="Times New Roman"/>
          <w:sz w:val="22"/>
        </w:rPr>
        <w:t>”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>Power generation companies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 ways of earning money have provoked </w:t>
      </w:r>
      <w:r>
        <w:rPr>
          <w:rFonts w:cs="Times New Roman" w:ascii="Times New Roman" w:hAnsi="Times New Roman"/>
          <w:sz w:val="22"/>
        </w:rPr>
        <w:t>criticisms</w:t>
      </w:r>
      <w:r>
        <w:rPr>
          <w:rFonts w:cs="Times New Roman" w:ascii="Times New Roman" w:hAnsi="Times New Roman"/>
          <w:sz w:val="22"/>
        </w:rPr>
        <w:t>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>Power generation companies created a shortage of stock on purpose by not building facilities and refusing to sell electricity, didn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t they?  </w:t>
      </w:r>
      <w:r>
        <w:rPr>
          <w:rFonts w:cs="Times New Roman" w:ascii="Times New Roman" w:hAnsi="Times New Roman"/>
          <w:sz w:val="22"/>
        </w:rPr>
        <w:t>That way, wholesale prices shoot up and they can make a profit.”</w:t>
      </w:r>
      <w:r>
        <w:rPr>
          <w:rFonts w:cs="Times New Roman" w:ascii="Times New Roman" w:hAnsi="Times New Roman"/>
          <w:sz w:val="22"/>
        </w:rPr>
        <w:t xml:space="preserve">  (A source in the electricity industry)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>It is reported that California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>s deregulation system facilitated power generation companies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 price manipulation because retail companies were required to purchase wholesale electricity at PX, a public power exchange.  Electricity is a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>necessity of life,</w:t>
      </w:r>
      <w:r>
        <w:rPr>
          <w:rFonts w:cs="Times New Roman" w:ascii="Times New Roman" w:hAnsi="Times New Roman"/>
          <w:sz w:val="22"/>
        </w:rPr>
        <w:t>”</w:t>
      </w:r>
      <w:r>
        <w:rPr>
          <w:rFonts w:cs="Times New Roman" w:ascii="Times New Roman" w:hAnsi="Times New Roman"/>
          <w:sz w:val="22"/>
        </w:rPr>
        <w:t xml:space="preserve"> so there are always </w:t>
      </w:r>
      <w:r>
        <w:rPr>
          <w:rFonts w:cs="Times New Roman" w:ascii="Times New Roman" w:hAnsi="Times New Roman"/>
          <w:sz w:val="22"/>
        </w:rPr>
        <w:t>electric</w:t>
      </w:r>
      <w:r>
        <w:rPr>
          <w:rFonts w:cs="Times New Roman" w:ascii="Times New Roman" w:hAnsi="Times New Roman"/>
          <w:sz w:val="22"/>
        </w:rPr>
        <w:t xml:space="preserve"> power companies that purchase a certain amount of it. 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less power generation companies provides, the more </w:t>
      </w:r>
      <w:r>
        <w:rPr>
          <w:rFonts w:cs="Times New Roman" w:ascii="Times New Roman" w:hAnsi="Times New Roman"/>
          <w:sz w:val="22"/>
        </w:rPr>
        <w:t>electricity</w:t>
      </w:r>
      <w:r>
        <w:rPr>
          <w:rFonts w:cs="Times New Roman" w:ascii="Times New Roman" w:hAnsi="Times New Roman"/>
          <w:sz w:val="22"/>
        </w:rPr>
        <w:t xml:space="preserve"> prices soar.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Last summer, power plants were in full operation, and regular inspections were put off.  As a result, many plants underwent regular inspections in winter.  This is considered to be another reason why supply was short.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 xml:space="preserve">However, 20 power generation units suspended operation due to regular inspections out of 45 that were not operating as of </w:t>
      </w:r>
      <w:r>
        <w:rPr>
          <w:rFonts w:cs="Times New Roman" w:ascii="Times New Roman" w:hAnsi="Times New Roman"/>
          <w:sz w:val="22"/>
        </w:rPr>
        <w:t>January</w:t>
      </w:r>
      <w:r>
        <w:rPr>
          <w:rFonts w:cs="Times New Roman" w:ascii="Times New Roman" w:hAnsi="Times New Roman"/>
          <w:sz w:val="22"/>
        </w:rPr>
        <w:t xml:space="preserve"> this year.  It is not made public why the remaining 25 units were not operating.  This is also a fact that gives off a smell of dishonesty.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Media reports are varied.  Some use indirect expressions such as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>California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>s power crisis was a favorable situation for power generators like Enron to make profits.</w:t>
      </w:r>
      <w:r>
        <w:rPr>
          <w:rFonts w:cs="Times New Roman" w:ascii="Times New Roman" w:hAnsi="Times New Roman"/>
          <w:sz w:val="22"/>
        </w:rPr>
        <w:t>”</w:t>
      </w:r>
      <w:r>
        <w:rPr>
          <w:rFonts w:cs="Times New Roman" w:ascii="Times New Roman" w:hAnsi="Times New Roman"/>
          <w:sz w:val="22"/>
        </w:rPr>
        <w:t xml:space="preserve">  Others introduce such opinions as,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>Illegal price manipulation certainly existed.</w:t>
      </w:r>
      <w:r>
        <w:rPr>
          <w:rFonts w:cs="Times New Roman" w:ascii="Times New Roman" w:hAnsi="Times New Roman"/>
          <w:sz w:val="22"/>
        </w:rPr>
        <w:t>”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 xml:space="preserve">A local </w:t>
      </w:r>
      <w:r>
        <w:rPr>
          <w:rFonts w:cs="Times New Roman" w:ascii="Times New Roman" w:hAnsi="Times New Roman"/>
          <w:sz w:val="22"/>
        </w:rPr>
        <w:t>newspaper</w:t>
      </w:r>
      <w:r>
        <w:rPr>
          <w:rFonts w:cs="Times New Roman" w:ascii="Times New Roman" w:hAnsi="Times New Roman"/>
          <w:sz w:val="22"/>
        </w:rPr>
        <w:t xml:space="preserve"> conducted a survey and asked why wholesale prices shot up.  According </w:t>
      </w:r>
      <w:r>
        <w:rPr>
          <w:rFonts w:cs="Times New Roman" w:ascii="Times New Roman" w:hAnsi="Times New Roman"/>
          <w:sz w:val="22"/>
        </w:rPr>
        <w:t>to the</w:t>
      </w:r>
      <w:r>
        <w:rPr>
          <w:rFonts w:cs="Times New Roman" w:ascii="Times New Roman" w:hAnsi="Times New Roman"/>
          <w:sz w:val="22"/>
        </w:rPr>
        <w:t xml:space="preserve"> results released after rotating blackouts in </w:t>
      </w:r>
      <w:r>
        <w:rPr>
          <w:rFonts w:cs="Times New Roman" w:ascii="Times New Roman" w:hAnsi="Times New Roman"/>
          <w:sz w:val="22"/>
        </w:rPr>
        <w:t>January</w:t>
      </w:r>
      <w:r>
        <w:rPr>
          <w:rFonts w:cs="Times New Roman" w:ascii="Times New Roman" w:hAnsi="Times New Roman"/>
          <w:sz w:val="22"/>
        </w:rPr>
        <w:t xml:space="preserve">, 53% of respondents cited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 xml:space="preserve">price manipulation by power generation </w:t>
      </w:r>
      <w:r>
        <w:rPr>
          <w:rFonts w:cs="Times New Roman" w:ascii="Times New Roman" w:hAnsi="Times New Roman"/>
          <w:sz w:val="22"/>
        </w:rPr>
        <w:t>companies</w:t>
      </w:r>
      <w:r>
        <w:rPr>
          <w:rFonts w:cs="Times New Roman" w:ascii="Times New Roman" w:hAnsi="Times New Roman"/>
          <w:sz w:val="22"/>
        </w:rPr>
        <w:t>,</w:t>
      </w:r>
      <w:r>
        <w:rPr>
          <w:rFonts w:cs="Times New Roman" w:ascii="Times New Roman" w:hAnsi="Times New Roman"/>
          <w:sz w:val="22"/>
        </w:rPr>
        <w:t>”</w:t>
      </w:r>
      <w:r>
        <w:rPr>
          <w:rFonts w:cs="Times New Roman" w:ascii="Times New Roman" w:hAnsi="Times New Roman"/>
          <w:sz w:val="22"/>
        </w:rPr>
        <w:t xml:space="preserve"> largely exceeding those who answered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>a lack in supply capacity,</w:t>
      </w:r>
      <w:r>
        <w:rPr>
          <w:rFonts w:cs="Times New Roman" w:ascii="Times New Roman" w:hAnsi="Times New Roman"/>
          <w:sz w:val="22"/>
        </w:rPr>
        <w:t>”</w:t>
      </w:r>
      <w:r>
        <w:rPr>
          <w:rFonts w:cs="Times New Roman" w:ascii="Times New Roman" w:hAnsi="Times New Roman"/>
          <w:sz w:val="22"/>
        </w:rPr>
        <w:t xml:space="preserve"> which accounted for 39%.   Many people cast a dubious eye on power generation companies.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 xml:space="preserve">Recently, some </w:t>
      </w:r>
      <w:r>
        <w:rPr>
          <w:rFonts w:cs="Times New Roman" w:ascii="Times New Roman" w:hAnsi="Times New Roman"/>
          <w:sz w:val="22"/>
        </w:rPr>
        <w:t>people</w:t>
      </w:r>
      <w:r>
        <w:rPr>
          <w:rFonts w:cs="Times New Roman" w:ascii="Times New Roman" w:hAnsi="Times New Roman"/>
          <w:sz w:val="22"/>
        </w:rPr>
        <w:t xml:space="preserve"> started saying,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 xml:space="preserve">We can not accept sharp price increases </w:t>
      </w:r>
      <w:r>
        <w:rPr>
          <w:rFonts w:cs="Times New Roman" w:ascii="Times New Roman" w:hAnsi="Times New Roman"/>
          <w:sz w:val="22"/>
        </w:rPr>
        <w:t>brought</w:t>
      </w:r>
      <w:r>
        <w:rPr>
          <w:rFonts w:cs="Times New Roman" w:ascii="Times New Roman" w:hAnsi="Times New Roman"/>
          <w:sz w:val="22"/>
        </w:rPr>
        <w:t xml:space="preserve"> by power generation companies that ignored responsibility to (maintain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supply of) electricity, a public infrastructure, and pursued profit.</w:t>
      </w:r>
      <w:r>
        <w:rPr>
          <w:rFonts w:cs="Times New Roman" w:ascii="Times New Roman" w:hAnsi="Times New Roman"/>
          <w:sz w:val="22"/>
        </w:rPr>
        <w:t>”</w:t>
      </w:r>
      <w:r>
        <w:rPr>
          <w:rFonts w:cs="Times New Roman" w:ascii="Times New Roman" w:hAnsi="Times New Roman"/>
          <w:sz w:val="22"/>
        </w:rPr>
        <w:t xml:space="preserve">  (</w:t>
      </w:r>
      <w:r>
        <w:rPr>
          <w:rFonts w:cs="Times New Roman" w:ascii="Times New Roman" w:hAnsi="Times New Roman"/>
          <w:sz w:val="22"/>
        </w:rPr>
        <w:t>A</w:t>
      </w:r>
      <w:r>
        <w:rPr>
          <w:rFonts w:cs="Times New Roman" w:ascii="Times New Roman" w:hAnsi="Times New Roman"/>
          <w:sz w:val="22"/>
        </w:rPr>
        <w:t xml:space="preserve"> group of citizens </w:t>
      </w:r>
      <w:r>
        <w:rPr>
          <w:rFonts w:cs="Times New Roman" w:ascii="Times New Roman" w:hAnsi="Times New Roman"/>
          <w:sz w:val="22"/>
        </w:rPr>
        <w:t>opposed</w:t>
      </w:r>
      <w:r>
        <w:rPr>
          <w:rFonts w:cs="Times New Roman" w:ascii="Times New Roman" w:hAnsi="Times New Roman"/>
          <w:sz w:val="22"/>
        </w:rPr>
        <w:t xml:space="preserve"> to increases in public utility rates)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 xml:space="preserve">In response to such voices, </w:t>
      </w:r>
      <w:r>
        <w:rPr>
          <w:rFonts w:cs="Times New Roman" w:ascii="Times New Roman" w:hAnsi="Times New Roman"/>
          <w:sz w:val="22"/>
        </w:rPr>
        <w:t>Federal Energy Regulatory Commission</w:t>
      </w:r>
      <w:r>
        <w:rPr>
          <w:rFonts w:cs="Times New Roman" w:ascii="Times New Roman" w:hAnsi="Times New Roman"/>
          <w:sz w:val="22"/>
        </w:rPr>
        <w:t xml:space="preserve"> (FERC) urged power generation </w:t>
      </w:r>
      <w:r>
        <w:rPr>
          <w:rFonts w:cs="Times New Roman" w:ascii="Times New Roman" w:hAnsi="Times New Roman"/>
          <w:sz w:val="22"/>
        </w:rPr>
        <w:t>companies</w:t>
      </w:r>
      <w:r>
        <w:rPr>
          <w:rFonts w:cs="Times New Roman" w:ascii="Times New Roman" w:hAnsi="Times New Roman"/>
          <w:sz w:val="22"/>
        </w:rPr>
        <w:t xml:space="preserve"> to return excess profits made in </w:t>
      </w:r>
      <w:r>
        <w:rPr>
          <w:rFonts w:cs="Times New Roman" w:ascii="Times New Roman" w:hAnsi="Times New Roman"/>
          <w:sz w:val="22"/>
        </w:rPr>
        <w:t>January</w:t>
      </w:r>
      <w:r>
        <w:rPr>
          <w:rFonts w:cs="Times New Roman" w:ascii="Times New Roman" w:hAnsi="Times New Roman"/>
          <w:sz w:val="22"/>
        </w:rPr>
        <w:t xml:space="preserve"> and </w:t>
      </w:r>
      <w:r>
        <w:rPr>
          <w:rFonts w:cs="Times New Roman" w:ascii="Times New Roman" w:hAnsi="Times New Roman"/>
          <w:sz w:val="22"/>
        </w:rPr>
        <w:t>February</w:t>
      </w:r>
      <w:r>
        <w:rPr>
          <w:rFonts w:cs="Times New Roman" w:ascii="Times New Roman" w:hAnsi="Times New Roman"/>
          <w:sz w:val="22"/>
        </w:rPr>
        <w:t xml:space="preserve"> to electric power companies in exchange for not investigating into their suspected illegal price manipulations </w:t>
      </w:r>
      <w:r>
        <w:rPr>
          <w:rFonts w:cs="Times New Roman" w:ascii="Times New Roman" w:hAnsi="Times New Roman"/>
          <w:sz w:val="22"/>
        </w:rPr>
        <w:t>at the</w:t>
      </w:r>
      <w:r>
        <w:rPr>
          <w:rFonts w:cs="Times New Roman" w:ascii="Times New Roman" w:hAnsi="Times New Roman"/>
          <w:sz w:val="22"/>
        </w:rPr>
        <w:t xml:space="preserve"> electricity market.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 xml:space="preserve">However, there is no legal system under which </w:t>
      </w:r>
      <w:r>
        <w:rPr>
          <w:rFonts w:cs="Times New Roman" w:ascii="Times New Roman" w:hAnsi="Times New Roman"/>
          <w:sz w:val="22"/>
        </w:rPr>
        <w:t>companies</w:t>
      </w:r>
      <w:r>
        <w:rPr>
          <w:rFonts w:cs="Times New Roman" w:ascii="Times New Roman" w:hAnsi="Times New Roman"/>
          <w:sz w:val="22"/>
        </w:rPr>
        <w:t xml:space="preserve"> return profits once they reaped.  </w:t>
      </w:r>
      <w:r>
        <w:rPr>
          <w:rFonts w:cs="Times New Roman" w:ascii="Times New Roman" w:hAnsi="Times New Roman"/>
          <w:sz w:val="22"/>
        </w:rPr>
        <w:t>Therefore</w:t>
      </w:r>
      <w:r>
        <w:rPr>
          <w:rFonts w:cs="Times New Roman" w:ascii="Times New Roman" w:hAnsi="Times New Roman"/>
          <w:sz w:val="22"/>
        </w:rPr>
        <w:t>, FERC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>s action is a pose in large part.  Still, it is very extraordinary that FERC calls for returning profits.  The action is viewed as asking power generation companies to correct their management policy.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>The electricity utility industry law of t</w:t>
      </w:r>
      <w:r>
        <w:rPr>
          <w:rFonts w:cs="Times New Roman" w:ascii="Times New Roman" w:hAnsi="Times New Roman"/>
          <w:sz w:val="22"/>
        </w:rPr>
        <w:t>he</w:t>
      </w:r>
      <w:r>
        <w:rPr>
          <w:rFonts w:cs="Times New Roman" w:ascii="Times New Roman" w:hAnsi="Times New Roman"/>
          <w:sz w:val="22"/>
        </w:rPr>
        <w:t xml:space="preserve"> United Kingdom stipulates that electric power </w:t>
      </w:r>
      <w:r>
        <w:rPr>
          <w:rFonts w:cs="Times New Roman" w:ascii="Times New Roman" w:hAnsi="Times New Roman"/>
          <w:sz w:val="22"/>
        </w:rPr>
        <w:t>companies</w:t>
      </w:r>
      <w:r>
        <w:rPr>
          <w:rFonts w:cs="Times New Roman" w:ascii="Times New Roman" w:hAnsi="Times New Roman"/>
          <w:sz w:val="22"/>
        </w:rPr>
        <w:t xml:space="preserve"> should try to engage in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>sincere deals.</w:t>
      </w:r>
      <w:r>
        <w:rPr>
          <w:rFonts w:cs="Times New Roman" w:ascii="Times New Roman" w:hAnsi="Times New Roman"/>
          <w:sz w:val="22"/>
        </w:rPr>
        <w:t>”</w:t>
      </w:r>
      <w:r>
        <w:rPr>
          <w:rFonts w:cs="Times New Roman" w:ascii="Times New Roman" w:hAnsi="Times New Roman"/>
          <w:sz w:val="22"/>
        </w:rPr>
        <w:t xml:space="preserve">  The provision is aimed at putting a ban on earning too much money.  In the United States, priority is given to profit.  It is natural for even public utilities to pursue a maximum profit as far as they do not violate antitrust laws.  Power generation companies may have obtained huge profits by engaging in ordinary business practices.</w:t>
      </w:r>
    </w:p>
    <w:p>
      <w:pPr>
        <w:pStyle w:val="Normal"/>
        <w:spacing w:lineRule="exact" w:line="34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exact" w:line="340"/>
        <w:rPr/>
      </w:pPr>
      <w:r>
        <w:rPr>
          <w:rFonts w:cs="Times New Roman" w:ascii="Times New Roman" w:hAnsi="Times New Roman"/>
          <w:sz w:val="22"/>
        </w:rPr>
        <w:t xml:space="preserve">However, a local paper San Francisco </w:t>
      </w:r>
      <w:r>
        <w:rPr>
          <w:rFonts w:cs="Times New Roman" w:ascii="Times New Roman" w:hAnsi="Times New Roman"/>
          <w:sz w:val="22"/>
        </w:rPr>
        <w:t>Chronicle</w:t>
      </w:r>
      <w:r>
        <w:rPr>
          <w:rFonts w:cs="Times New Roman" w:ascii="Times New Roman" w:hAnsi="Times New Roman"/>
          <w:sz w:val="22"/>
        </w:rPr>
        <w:t xml:space="preserve"> points out,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 xml:space="preserve">It is certain that the responsibility for establishing a system with many defects, under which </w:t>
      </w:r>
      <w:r>
        <w:rPr>
          <w:rFonts w:cs="Times New Roman" w:ascii="Times New Roman" w:hAnsi="Times New Roman"/>
          <w:sz w:val="22"/>
        </w:rPr>
        <w:t>power</w:t>
      </w:r>
      <w:r>
        <w:rPr>
          <w:rFonts w:cs="Times New Roman" w:ascii="Times New Roman" w:hAnsi="Times New Roman"/>
          <w:sz w:val="22"/>
        </w:rPr>
        <w:t xml:space="preserve"> generation companies would be able to make a killing, ultimately falls on policymakers.</w:t>
      </w:r>
      <w:r>
        <w:rPr>
          <w:rFonts w:cs="Times New Roman" w:ascii="Times New Roman" w:hAnsi="Times New Roman"/>
          <w:sz w:val="22"/>
        </w:rPr>
        <w:t>”</w:t>
      </w:r>
    </w:p>
    <w:sectPr>
      <w:type w:val="nextPage"/>
      <w:pgSz w:w="11906" w:h="16838"/>
      <w:pgMar w:left="1701" w:right="1701" w:gutter="0" w:header="0" w:top="1985" w:footer="0" w:bottom="1701"/>
      <w:pgNumType w:start="1"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entury" w:hAnsi="Century" w:eastAsia="ＭＳ 明朝" w:cs="Century"/>
      <w:color w:val="auto"/>
      <w:kern w:val="2"/>
      <w:sz w:val="21"/>
      <w:szCs w:val="20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340"/>
      <w:outlineLvl w:val="0"/>
    </w:pPr>
    <w:rPr>
      <w:rFonts w:ascii="Times New Roman" w:hAnsi="Times New Roman" w:cs="Times New Roman"/>
      <w:b/>
      <w:sz w:val="22"/>
    </w:rPr>
  </w:style>
  <w:style w:type="paragraph" w:styleId="Heading2">
    <w:name w:val="heading 2"/>
    <w:basedOn w:val="Normal"/>
    <w:next w:val="Style12"/>
    <w:qFormat/>
    <w:pPr>
      <w:keepNext w:val="true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2"/>
    </w:rPr>
  </w:style>
  <w:style w:type="paragraph" w:styleId="Heading3">
    <w:name w:val="heading 3"/>
    <w:basedOn w:val="Normal"/>
    <w:next w:val="Style12"/>
    <w:qFormat/>
    <w:pPr>
      <w:keepNext w:val="true"/>
      <w:numPr>
        <w:ilvl w:val="2"/>
        <w:numId w:val="1"/>
      </w:numPr>
      <w:spacing w:lineRule="exact" w:line="340"/>
      <w:outlineLvl w:val="2"/>
    </w:pPr>
    <w:rPr>
      <w:rFonts w:ascii="Times New Roman" w:hAnsi="Times New Roman" w:cs="Times New Roman"/>
      <w:i/>
      <w:sz w:val="22"/>
    </w:rPr>
  </w:style>
  <w:style w:type="paragraph" w:styleId="Heading4">
    <w:name w:val="heading 4"/>
    <w:basedOn w:val="Normal"/>
    <w:next w:val="Style12"/>
    <w:qFormat/>
    <w:pPr>
      <w:keepNext w:val="true"/>
      <w:numPr>
        <w:ilvl w:val="3"/>
        <w:numId w:val="1"/>
      </w:numPr>
      <w:spacing w:lineRule="exact" w:line="380"/>
      <w:jc w:val="center"/>
      <w:outlineLvl w:val="3"/>
    </w:pPr>
    <w:rPr>
      <w:rFonts w:ascii="Times New Roman" w:hAnsi="Times New Roman" w:cs="Times New Roman"/>
      <w:b/>
      <w:sz w:val="24"/>
    </w:rPr>
  </w:style>
  <w:style w:type="character" w:styleId="Style10">
    <w:name w:val="段落ﾌｫﾝﾄ"/>
    <w:qFormat/>
    <w:rPr/>
  </w:style>
  <w:style w:type="character" w:styleId="PageNumber">
    <w:name w:val="page number"/>
    <w:basedOn w:val="Style1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exact" w:line="340"/>
    </w:pPr>
    <w:rPr>
      <w:rFonts w:ascii="Times New Roman" w:hAnsi="Times New Roman" w:cs="Times New Roman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851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11">
    <w:name w:val="日付"/>
    <w:basedOn w:val="Normal"/>
    <w:next w:val="Normal"/>
    <w:qFormat/>
    <w:pPr/>
    <w:rPr>
      <w:rFonts w:ascii="Times New Roman" w:hAnsi="Times New Roman" w:cs="Times New Roman"/>
    </w:rPr>
  </w:style>
  <w:style w:type="paragraph" w:styleId="Style12">
    <w:name w:val="標準ｲﾝﾃﾞﾝﾄ"/>
    <w:basedOn w:val="Normal"/>
    <w:qFormat/>
    <w:pPr>
      <w:ind w:hanging="0" w:start="851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2001-02-07T07:01:00Z</dcterms:created>
  <dc:creator>Toshiko Shibano</dc:creator>
  <dc:description/>
  <dc:language>en-CA</dc:language>
  <cp:lastModifiedBy>IRJ PR Services</cp:lastModifiedBy>
  <cp:lastPrinted>2001-04-18T14:48:00Z</cp:lastPrinted>
  <dcterms:modified xsi:type="dcterms:W3CDTF">2001-04-18T03:41:00Z</dcterms:modified>
  <cp:revision>107</cp:revision>
  <dc:subject/>
  <dc:title>Deregulation of Electric Utility Business Effected Negatively</dc:title>
</cp:coreProperties>
</file>