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(ONEOK CONTRACT)</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March, 2001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ONEOK Energy Marketing &amp; Trading Company. L.P., a Texas limited partnership (“</w:t>
      </w:r>
      <w:r>
        <w:rPr>
          <w:sz w:val="24"/>
          <w:u w:val="single"/>
        </w:rPr>
        <w:t>ONEOK</w:t>
      </w:r>
      <w:r>
        <w:rPr>
          <w:sz w:val="24"/>
        </w:rPr>
        <w:t>”) (ONEOK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the certain Transaction Confirmation dated September 25, 2000 between Assignor and ONEOK (the “</w:t>
      </w:r>
      <w:r>
        <w:rPr>
          <w:sz w:val="24"/>
          <w:u w:val="single"/>
        </w:rPr>
        <w:t>Confirm</w:t>
      </w:r>
      <w:r>
        <w:rPr>
          <w:sz w:val="24"/>
        </w:rPr>
        <w:t>”) which is subject to that GISB Base Contract For Short-Term Purchase of Natural Gas dated April 1, 1998 between Assignor and ONEOK (as assignee of Midcon Gas Services Corp.) (the “</w:t>
      </w:r>
      <w:r>
        <w:rPr>
          <w:sz w:val="24"/>
          <w:u w:val="single"/>
        </w:rPr>
        <w:t>Base Contract</w:t>
      </w:r>
      <w:r>
        <w:rPr>
          <w:sz w:val="24"/>
        </w:rPr>
        <w:t>”) (the Confirm and the Base Contract, attached hereto as Exhibit “A”, collectively referred to as the “</w:t>
      </w:r>
      <w:r>
        <w:rPr>
          <w:sz w:val="24"/>
          <w:u w:val="single"/>
        </w:rPr>
        <w:t>Purchase Agreement</w:t>
      </w:r>
      <w:r>
        <w:rPr>
          <w:sz w:val="24"/>
        </w:rPr>
        <w:t>”) to Assignee for the period from March 1, 2001 to September  30,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ONEOK hereby agree as follows:</w:t>
      </w:r>
    </w:p>
    <w:p>
      <w:pPr>
        <w:pStyle w:val="Normal"/>
        <w:jc w:val="both"/>
        <w:rPr>
          <w:sz w:val="24"/>
        </w:rPr>
      </w:pPr>
      <w:r>
        <w:rPr>
          <w:sz w:val="24"/>
        </w:rPr>
      </w:r>
    </w:p>
    <w:p>
      <w:pPr>
        <w:pStyle w:val="Normal"/>
        <w:numPr>
          <w:ilvl w:val="0"/>
          <w:numId w:val="1"/>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ONEOK, Assignor and Assignee shall be jointly and severally liable to ONEOK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1"/>
        </w:numPr>
        <w:jc w:val="both"/>
        <w:rPr>
          <w:sz w:val="24"/>
        </w:rPr>
      </w:pPr>
      <w:r>
        <w:rPr>
          <w:b/>
          <w:sz w:val="24"/>
          <w:u w:val="single"/>
        </w:rPr>
        <w:t>Amendment</w:t>
      </w:r>
      <w:r>
        <w:rPr>
          <w:b/>
          <w:sz w:val="24"/>
        </w:rPr>
        <w:t xml:space="preserve">.  </w:t>
      </w:r>
      <w:r>
        <w:rPr>
          <w:sz w:val="24"/>
        </w:rPr>
        <w:t xml:space="preserve">Assignor, Assignee and ONEOK agree that </w:t>
      </w:r>
      <w:r>
        <w:rPr>
          <w:b/>
          <w:sz w:val="24"/>
        </w:rPr>
        <w:t>during the  Assignment Period only</w:t>
      </w:r>
      <w:r>
        <w:rPr>
          <w:sz w:val="24"/>
        </w:rPr>
        <w:t xml:space="preserve">, certain provisions of the Purchase Agreement shall be amended and restated as set forth in Appendix “1” attached hereto. </w:t>
      </w:r>
    </w:p>
    <w:p>
      <w:pPr>
        <w:pStyle w:val="Normal"/>
        <w:jc w:val="both"/>
        <w:rPr>
          <w:sz w:val="24"/>
        </w:rPr>
      </w:pPr>
      <w:r>
        <w:rPr>
          <w:sz w:val="24"/>
        </w:rPr>
      </w:r>
    </w:p>
    <w:p>
      <w:pPr>
        <w:pStyle w:val="Normal"/>
        <w:jc w:val="both"/>
        <w:rPr>
          <w:sz w:val="24"/>
          <w:u w:val="single"/>
        </w:rPr>
      </w:pPr>
      <w:r>
        <w:rPr>
          <w:sz w:val="24"/>
          <w:u w:val="single"/>
        </w:rPr>
      </w:r>
    </w:p>
    <w:p>
      <w:pPr>
        <w:pStyle w:val="Normal"/>
        <w:numPr>
          <w:ilvl w:val="0"/>
          <w:numId w:val="1"/>
        </w:numPr>
        <w:jc w:val="both"/>
        <w:rPr>
          <w:sz w:val="24"/>
        </w:rPr>
      </w:pPr>
      <w:r>
        <w:rPr>
          <w:b/>
          <w:sz w:val="24"/>
          <w:u w:val="single"/>
        </w:rPr>
        <w:t>Consent</w:t>
      </w:r>
      <w:r>
        <w:rPr>
          <w:b/>
          <w:sz w:val="24"/>
        </w:rPr>
        <w:t>.</w:t>
      </w:r>
      <w:r>
        <w:rPr>
          <w:sz w:val="24"/>
        </w:rPr>
        <w:t xml:space="preserve">  In accordance with the provisions of Paragraph 1 of this Agreement as set forth above, ONEOK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1"/>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1"/>
        </w:numPr>
        <w:jc w:val="both"/>
        <w:rPr>
          <w:sz w:val="24"/>
        </w:rPr>
      </w:pPr>
      <w:r>
        <w:rPr>
          <w:b/>
          <w:sz w:val="24"/>
          <w:u w:val="single"/>
        </w:rPr>
        <w:t>Modification</w:t>
      </w:r>
      <w:r>
        <w:rPr>
          <w:b/>
          <w:sz w:val="24"/>
        </w:rPr>
        <w:t xml:space="preserve">.  </w:t>
      </w:r>
      <w:r>
        <w:rPr>
          <w:sz w:val="24"/>
        </w:rPr>
        <w:t>Neither Assignor, Assignee, nor ONEOK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1"/>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Texas,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1"/>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1"/>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ONEOK Energy Marketing &amp; Trading, L.P.</w:t>
      </w:r>
    </w:p>
    <w:p>
      <w:pPr>
        <w:pStyle w:val="Normal"/>
        <w:ind w:start="720" w:end="0"/>
        <w:jc w:val="both"/>
        <w:rPr>
          <w:b/>
          <w:sz w:val="24"/>
        </w:rPr>
      </w:pPr>
      <w:r>
        <w:rPr>
          <w:b/>
          <w:sz w:val="24"/>
        </w:rPr>
        <w:t>by ONEOK Energy Marketing &amp; Trading Company</w:t>
      </w:r>
    </w:p>
    <w:p>
      <w:pPr>
        <w:pStyle w:val="Normal"/>
        <w:ind w:start="720" w:end="0"/>
        <w:jc w:val="both"/>
        <w:rPr>
          <w:b/>
          <w:sz w:val="24"/>
        </w:rPr>
      </w:pPr>
      <w:r>
        <w:rPr>
          <w:b/>
          <w:sz w:val="24"/>
        </w:rPr>
        <w:t>its General Partner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ind w:start="720" w:end="0"/>
        <w:jc w:val="both"/>
        <w:rPr>
          <w:b/>
          <w:sz w:val="24"/>
        </w:rPr>
      </w:pPr>
      <w:r>
        <w:rPr>
          <w:b/>
          <w:sz w:val="24"/>
        </w:rPr>
        <w:t xml:space="preserve"> </w:t>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spacing w:val="-3"/>
          <w:sz w:val="20"/>
        </w:rPr>
        <w:t>“</w:t>
      </w:r>
      <w:r>
        <w:rPr>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sz w:val="20"/>
        </w:rPr>
      </w:pPr>
      <w:r>
        <w:rPr>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spacing w:val="-3"/>
          <w:sz w:val="20"/>
        </w:rPr>
        <w:t>“</w:t>
      </w:r>
      <w:r>
        <w:rPr>
          <w:spacing w:val="-3"/>
          <w:sz w:val="20"/>
        </w:rPr>
        <w:t>11.3.</w:t>
        <w:tab/>
        <w:t xml:space="preserve">Neither party shall be entitled to the benefit of the provisions of Force Majeure to the extent performance is affected by any or all of the following circumstances:  </w:t>
      </w:r>
      <w:r>
        <w:rPr>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spacing w:val="-3"/>
          <w:sz w:val="20"/>
        </w:rPr>
        <w:t xml:space="preserve"> (</w:t>
      </w:r>
      <w:r>
        <w:rPr>
          <w:spacing w:val="-3"/>
          <w:sz w:val="20"/>
          <w:lang w:val="en-CA" w:eastAsia="en-CA"/>
        </w:rPr>
        <w:t>iv</w:t>
      </w:r>
      <w:r>
        <w:rPr>
          <w:spacing w:val="-3"/>
          <w:sz w:val="20"/>
        </w:rPr>
        <w:t>) the curtailment of interruptible or secondary firm transportation unless primary, in-path, firm transportation is also curtailed; (</w:t>
      </w:r>
      <w:r>
        <w:rPr>
          <w:spacing w:val="-3"/>
          <w:sz w:val="20"/>
          <w:lang w:val="en-CA" w:eastAsia="en-CA"/>
        </w:rPr>
        <w:t>v</w:t>
      </w:r>
      <w:r>
        <w:rPr>
          <w:spacing w:val="-3"/>
          <w:sz w:val="20"/>
        </w:rPr>
        <w:t>) the party claiming excuse failed to remedy the condition and to resume the performance of such covenants or obligations with reasonable dispatch; or (</w:t>
      </w:r>
      <w:r>
        <w:rPr>
          <w:spacing w:val="-3"/>
          <w:sz w:val="20"/>
          <w:lang w:val="en-CA" w:eastAsia="en-CA"/>
        </w:rPr>
        <w:t>vi</w:t>
      </w:r>
      <w:r>
        <w:rPr>
          <w:spacing w:val="-3"/>
          <w:sz w:val="20"/>
        </w:rPr>
        <w:t>) economic hardship.  The party claiming Force Majeure shall not be excused from its responsibility for Imbalance Charges</w:t>
      </w:r>
      <w:r>
        <w:rPr>
          <w:sz w:val="20"/>
        </w:rPr>
        <w:t>.”</w:t>
      </w:r>
    </w:p>
    <w:p>
      <w:pPr>
        <w:pStyle w:val="BodyTextIndent"/>
        <w:rPr>
          <w:sz w:val="20"/>
        </w:rPr>
      </w:pPr>
      <w:r>
        <w:rPr>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sz w:val="20"/>
        </w:rPr>
      </w:pPr>
      <w:r>
        <w:rPr>
          <w:sz w:val="20"/>
        </w:rPr>
      </w:r>
    </w:p>
    <w:p>
      <w:pPr>
        <w:pStyle w:val="Normal"/>
        <w:ind w:start="720" w:end="0"/>
        <w:jc w:val="both"/>
        <w:rPr>
          <w:b/>
          <w:sz w:val="24"/>
        </w:rPr>
      </w:pPr>
      <w:r>
        <w:rPr>
          <w:b/>
          <w:sz w:val="24"/>
        </w:rPr>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Sandia_Enron_Assignment__Oneok__.doc</w:t>
    </w:r>
    <w: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Sandia_Enron_Assignment__Oneok__.doc</w:t>
    </w:r>
    <w:r>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2001-04-20T17:33:00Z</dcterms:created>
  <dc:creator>NCE Client</dc:creator>
  <dc:description/>
  <dc:language>en-CA</dc:language>
  <cp:lastModifiedBy>gnemec</cp:lastModifiedBy>
  <cp:lastPrinted>2001-04-20T15:29:00Z</cp:lastPrinted>
  <dcterms:modified xsi:type="dcterms:W3CDTF">2001-04-20T18:07:00Z</dcterms:modified>
  <cp:revision>7</cp:revision>
  <dc:subject/>
  <dc:title>TEMPORARY ASSIGNMENT AND AMENDMENT AGREEMENT</dc:title>
</cp:coreProperties>
</file>