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sz w:val="24"/>
        </w:rPr>
      </w:pPr>
      <w:r>
        <w:rPr>
          <w:b/>
          <w:sz w:val="24"/>
        </w:rPr>
        <w:t>(ONEOK CONTRACT)</w:t>
      </w:r>
    </w:p>
    <w:p>
      <w:pPr>
        <w:pStyle w:val="Normal"/>
        <w:jc w:val="center"/>
        <w:rPr>
          <w:b/>
          <w:sz w:val="24"/>
        </w:rPr>
      </w:pPr>
      <w:r>
        <w:rPr>
          <w:b/>
          <w:sz w:val="24"/>
        </w:rPr>
      </w:r>
    </w:p>
    <w:p>
      <w:pPr>
        <w:pStyle w:val="Normal"/>
        <w:jc w:val="both"/>
        <w:rPr/>
      </w:pPr>
      <w:r>
        <w:rPr>
          <w:b/>
          <w:sz w:val="24"/>
        </w:rPr>
        <w:tab/>
      </w:r>
      <w:r>
        <w:rPr>
          <w:sz w:val="24"/>
        </w:rPr>
        <w:t>This Temporary Assignment and Amendment Agreement (this “</w:t>
      </w:r>
      <w:r>
        <w:rPr>
          <w:sz w:val="24"/>
          <w:u w:val="single"/>
        </w:rPr>
        <w:t>Agreement</w:t>
      </w:r>
      <w:r>
        <w:rPr>
          <w:sz w:val="24"/>
        </w:rPr>
        <w:t>”) is entered into effective as of the 1</w:t>
      </w:r>
      <w:r>
        <w:rPr>
          <w:sz w:val="24"/>
          <w:vertAlign w:val="superscript"/>
        </w:rPr>
        <w:t>st</w:t>
      </w:r>
      <w:r>
        <w:rPr>
          <w:sz w:val="24"/>
        </w:rPr>
        <w:t xml:space="preserve"> of  March, 2001 (the “</w:t>
      </w:r>
      <w:r>
        <w:rPr>
          <w:sz w:val="24"/>
          <w:u w:val="single"/>
        </w:rPr>
        <w:t>Effective Date</w:t>
      </w:r>
      <w:r>
        <w:rPr>
          <w:sz w:val="24"/>
        </w:rPr>
        <w:t>”), by and between Sandia Resources Corporation, a Colorado corporation (“</w:t>
      </w:r>
      <w:r>
        <w:rPr>
          <w:sz w:val="24"/>
          <w:u w:val="single"/>
        </w:rPr>
        <w:t>Assignor</w:t>
      </w:r>
      <w:r>
        <w:rPr>
          <w:sz w:val="24"/>
        </w:rPr>
        <w:t>”), Enron North America Corp., a Delaware corporation (“</w:t>
      </w:r>
      <w:r>
        <w:rPr>
          <w:sz w:val="24"/>
          <w:u w:val="single"/>
        </w:rPr>
        <w:t>Assignee</w:t>
      </w:r>
      <w:r>
        <w:rPr>
          <w:sz w:val="24"/>
        </w:rPr>
        <w:t>”) and ONEOK Energy Marketing &amp; Trading Company. L.P., a Texas limited partnership (“</w:t>
      </w:r>
      <w:r>
        <w:rPr>
          <w:sz w:val="24"/>
          <w:u w:val="single"/>
        </w:rPr>
        <w:t>ONEOK</w:t>
      </w:r>
      <w:r>
        <w:rPr>
          <w:sz w:val="24"/>
        </w:rPr>
        <w:t>”) (ONEOK is also referred to as “</w:t>
      </w:r>
      <w:r>
        <w:rPr>
          <w:sz w:val="24"/>
          <w:u w:val="single"/>
        </w:rPr>
        <w:t>Buyer</w:t>
      </w:r>
      <w:r>
        <w:rPr>
          <w:sz w:val="24"/>
        </w:rPr>
        <w:t>” under the Purchase Agreement (hereinafter defined).</w:t>
      </w:r>
    </w:p>
    <w:p>
      <w:pPr>
        <w:pStyle w:val="Normal"/>
        <w:jc w:val="both"/>
        <w:rPr>
          <w:sz w:val="24"/>
        </w:rPr>
      </w:pPr>
      <w:r>
        <w:rPr>
          <w:sz w:val="24"/>
        </w:rPr>
      </w:r>
    </w:p>
    <w:p>
      <w:pPr>
        <w:pStyle w:val="Normal"/>
        <w:jc w:val="both"/>
        <w:rPr/>
      </w:pPr>
      <w:r>
        <w:rPr>
          <w:sz w:val="24"/>
        </w:rPr>
        <w:tab/>
        <w:t>WHEREAS, Assignor desires to temporarily assign all of its rights in and delegate all of its obligations under the certain Transaction Confirmation dated September 25, 2000 between Assignor and ONEOK (the “</w:t>
      </w:r>
      <w:r>
        <w:rPr>
          <w:sz w:val="24"/>
          <w:u w:val="single"/>
        </w:rPr>
        <w:t>Confirm</w:t>
      </w:r>
      <w:r>
        <w:rPr>
          <w:sz w:val="24"/>
        </w:rPr>
        <w:t>”) which is subject to that GISB Base Contract For Short-Term Purchase of Natural Gas dated April 1, 1998 between Assignor and ONEOK (as assignee of Midcon Gas Services Corp.) (the “</w:t>
      </w:r>
      <w:r>
        <w:rPr>
          <w:sz w:val="24"/>
          <w:u w:val="single"/>
        </w:rPr>
        <w:t>Base Contract</w:t>
      </w:r>
      <w:r>
        <w:rPr>
          <w:sz w:val="24"/>
        </w:rPr>
        <w:t>”) (the Confirm and the Base Contract, attached hereto as Exhibit “A”, collectively referred to as the “</w:t>
      </w:r>
      <w:r>
        <w:rPr>
          <w:sz w:val="24"/>
          <w:u w:val="single"/>
        </w:rPr>
        <w:t>Purchase Agreement</w:t>
      </w:r>
      <w:r>
        <w:rPr>
          <w:sz w:val="24"/>
        </w:rPr>
        <w:t>”) to Assignee for the period from March 1, 2001 to September  30, 2001 (the “</w:t>
      </w:r>
      <w:r>
        <w:rPr>
          <w:sz w:val="24"/>
          <w:u w:val="single"/>
        </w:rPr>
        <w:t>Assignment Period</w:t>
      </w:r>
      <w:r>
        <w:rPr>
          <w:sz w:val="24"/>
        </w:rPr>
        <w:t xml:space="preserve">”);  </w:t>
      </w:r>
    </w:p>
    <w:p>
      <w:pPr>
        <w:pStyle w:val="Normal"/>
        <w:jc w:val="both"/>
        <w:rPr>
          <w:sz w:val="24"/>
        </w:rPr>
      </w:pPr>
      <w:r>
        <w:rPr>
          <w:sz w:val="24"/>
        </w:rPr>
      </w:r>
    </w:p>
    <w:p>
      <w:pPr>
        <w:pStyle w:val="Normal"/>
        <w:jc w:val="both"/>
        <w:rPr>
          <w:sz w:val="24"/>
        </w:rPr>
      </w:pPr>
      <w:r>
        <w:rPr>
          <w:sz w:val="24"/>
        </w:rPr>
        <w:tab/>
        <w:t>WHEREAS, Assignee likewise desires to temporarily receive the benefits of all of Assignor’s rights and to assume all of Assignor’s obligations under the Purchase Agreement during the Assignment Period, subject to the temporary amendment of the Purchase Agreement as herein provided;</w:t>
      </w:r>
    </w:p>
    <w:p>
      <w:pPr>
        <w:pStyle w:val="Normal"/>
        <w:jc w:val="both"/>
        <w:rPr>
          <w:sz w:val="24"/>
        </w:rPr>
      </w:pPr>
      <w:r>
        <w:rPr>
          <w:sz w:val="24"/>
        </w:rPr>
      </w:r>
    </w:p>
    <w:p>
      <w:pPr>
        <w:pStyle w:val="Normal"/>
        <w:jc w:val="both"/>
        <w:rPr>
          <w:sz w:val="24"/>
        </w:rPr>
      </w:pPr>
      <w:r>
        <w:rPr>
          <w:sz w:val="24"/>
        </w:rPr>
        <w:tab/>
        <w:t>NOW, THEREFORE, in consideration of the mutual agreements contained herein, the receipt and sufficiency of which are hereby acknowledged, Assignor, Assignee, and ONEOK hereby agree as follows:</w:t>
      </w:r>
    </w:p>
    <w:p>
      <w:pPr>
        <w:pStyle w:val="Normal"/>
        <w:jc w:val="both"/>
        <w:rPr>
          <w:sz w:val="24"/>
        </w:rPr>
      </w:pPr>
      <w:r>
        <w:rPr>
          <w:sz w:val="24"/>
        </w:rPr>
      </w:r>
    </w:p>
    <w:p>
      <w:pPr>
        <w:pStyle w:val="Normal"/>
        <w:numPr>
          <w:ilvl w:val="0"/>
          <w:numId w:val="1"/>
        </w:numPr>
        <w:jc w:val="both"/>
        <w:rPr>
          <w:sz w:val="24"/>
        </w:rPr>
      </w:pPr>
      <w:r>
        <w:rPr>
          <w:b/>
          <w:sz w:val="24"/>
          <w:u w:val="single"/>
        </w:rPr>
        <w:t>Temporary Assignment and Authority</w:t>
      </w:r>
      <w:r>
        <w:rPr>
          <w:b/>
          <w:sz w:val="24"/>
        </w:rPr>
        <w:t xml:space="preserve">.  </w:t>
      </w:r>
      <w:r>
        <w:rPr>
          <w:sz w:val="24"/>
        </w:rPr>
        <w:t>Assignor does hereby assign, transfer and convey all of its rights, obligations and interest under and to the Purchase Agreement, as amended to date and as further amended by Section 2 of this Agreement (the “</w:t>
      </w:r>
      <w:r>
        <w:rPr>
          <w:sz w:val="24"/>
          <w:u w:val="single"/>
        </w:rPr>
        <w:t>Amended Purchase Agreement</w:t>
      </w:r>
      <w:r>
        <w:rPr>
          <w:sz w:val="24"/>
        </w:rPr>
        <w:t xml:space="preserve">”), during the Assignment Period, and the rights and benefits represented thereby, and Assignee does hereby assume and agree to perform all obligations of Assignor under the Amended Purchase Agreement arising during the Assignment Period.  Provided, however, that as between Assignor, Assignee, and ONEOK, Assignor and Assignee shall be jointly and severally liable to ONEOK for the performance of Seller’s obligations under the Amended Purchase Agreement during the Assignment Period, and nothing in this Agreement shall be construed to discharge Assignor from such obligations, in whole or in part.  </w:t>
      </w:r>
    </w:p>
    <w:p>
      <w:pPr>
        <w:pStyle w:val="Normal"/>
        <w:ind w:start="720" w:end="0"/>
        <w:jc w:val="both"/>
        <w:rPr>
          <w:b/>
          <w:sz w:val="24"/>
          <w:u w:val="single"/>
        </w:rPr>
      </w:pPr>
      <w:r>
        <w:rPr>
          <w:b/>
          <w:sz w:val="24"/>
          <w:u w:val="single"/>
        </w:rPr>
      </w:r>
    </w:p>
    <w:p>
      <w:pPr>
        <w:pStyle w:val="Normal"/>
        <w:numPr>
          <w:ilvl w:val="0"/>
          <w:numId w:val="1"/>
        </w:numPr>
        <w:jc w:val="both"/>
        <w:rPr>
          <w:sz w:val="24"/>
        </w:rPr>
      </w:pPr>
      <w:r>
        <w:rPr>
          <w:b/>
          <w:sz w:val="24"/>
          <w:u w:val="single"/>
        </w:rPr>
        <w:t>Amendment</w:t>
      </w:r>
      <w:r>
        <w:rPr>
          <w:b/>
          <w:sz w:val="24"/>
        </w:rPr>
        <w:t xml:space="preserve">.  </w:t>
      </w:r>
      <w:r>
        <w:rPr>
          <w:sz w:val="24"/>
        </w:rPr>
        <w:t xml:space="preserve">Assignor, Assignee and ONEOK agree that </w:t>
      </w:r>
      <w:r>
        <w:rPr>
          <w:b/>
          <w:sz w:val="24"/>
        </w:rPr>
        <w:t>during the  Assignment Period only</w:t>
      </w:r>
      <w:r>
        <w:rPr>
          <w:sz w:val="24"/>
        </w:rPr>
        <w:t>, certain provisions of the Base Contract shall be amended and restated as set forth in Appendix “1” attached hereto.</w:t>
      </w:r>
    </w:p>
    <w:p>
      <w:pPr>
        <w:pStyle w:val="Normal"/>
        <w:jc w:val="both"/>
        <w:rPr>
          <w:sz w:val="24"/>
        </w:rPr>
      </w:pPr>
      <w:r>
        <w:rPr>
          <w:sz w:val="24"/>
        </w:rPr>
      </w:r>
    </w:p>
    <w:p>
      <w:pPr>
        <w:pStyle w:val="Normal"/>
        <w:numPr>
          <w:ilvl w:val="0"/>
          <w:numId w:val="1"/>
        </w:numPr>
        <w:jc w:val="both"/>
        <w:rPr>
          <w:sz w:val="24"/>
        </w:rPr>
      </w:pPr>
      <w:r>
        <w:rPr>
          <w:b/>
          <w:sz w:val="24"/>
          <w:u w:val="single"/>
        </w:rPr>
        <w:t>Consent</w:t>
      </w:r>
      <w:r>
        <w:rPr>
          <w:b/>
          <w:sz w:val="24"/>
        </w:rPr>
        <w:t>.</w:t>
      </w:r>
      <w:r>
        <w:rPr>
          <w:sz w:val="24"/>
        </w:rPr>
        <w:t xml:space="preserve">  In accordance with the provisions of Paragraph 1 of this Agreement as set forth above, ONEOK hereby consents to the temporary assignment from Assignor to Assignee of the Purchase Agreement, as amended by this Agreement.  </w:t>
      </w:r>
    </w:p>
    <w:p>
      <w:pPr>
        <w:pStyle w:val="Normal"/>
        <w:ind w:start="720" w:end="0"/>
        <w:jc w:val="both"/>
        <w:rPr>
          <w:b/>
          <w:sz w:val="24"/>
          <w:u w:val="single"/>
        </w:rPr>
      </w:pPr>
      <w:r>
        <w:rPr>
          <w:b/>
          <w:sz w:val="24"/>
          <w:u w:val="single"/>
        </w:rPr>
      </w:r>
    </w:p>
    <w:p>
      <w:pPr>
        <w:pStyle w:val="Normal"/>
        <w:numPr>
          <w:ilvl w:val="0"/>
          <w:numId w:val="1"/>
        </w:numPr>
        <w:jc w:val="both"/>
        <w:rPr>
          <w:sz w:val="24"/>
        </w:rPr>
      </w:pPr>
      <w:r>
        <w:rPr>
          <w:b/>
          <w:sz w:val="24"/>
          <w:u w:val="single"/>
        </w:rPr>
        <w:t>Termination</w:t>
      </w:r>
      <w:r>
        <w:rPr>
          <w:b/>
          <w:sz w:val="24"/>
        </w:rPr>
        <w:t xml:space="preserve">.  </w:t>
      </w:r>
      <w:r>
        <w:rPr>
          <w:sz w:val="24"/>
        </w:rPr>
        <w:t xml:space="preserve">This Agreement shall terminate upon the expiration of the Assignment Period. Upon termination of this Agreement, the temporary assignment and amendment of the Purchase Agreement shall immediately terminate and all rights and obligations of Assignee under the Purchase Agreement, as it existed prior to this Temporary Assignment and Amendment Agreement, shall revert to Assignor.  Notwithstanding the foregoing, Buyer and Assignee shall retain all rights and obligations, including without limitation, liability for all payment obligations, attributable to the Assignment Period.  </w:t>
      </w:r>
    </w:p>
    <w:p>
      <w:pPr>
        <w:pStyle w:val="Normal"/>
        <w:jc w:val="both"/>
        <w:rPr>
          <w:sz w:val="24"/>
        </w:rPr>
      </w:pPr>
      <w:r>
        <w:rPr>
          <w:sz w:val="24"/>
        </w:rPr>
      </w:r>
    </w:p>
    <w:p>
      <w:pPr>
        <w:pStyle w:val="Normal"/>
        <w:numPr>
          <w:ilvl w:val="0"/>
          <w:numId w:val="1"/>
        </w:numPr>
        <w:jc w:val="both"/>
        <w:rPr>
          <w:sz w:val="24"/>
        </w:rPr>
      </w:pPr>
      <w:r>
        <w:rPr>
          <w:b/>
          <w:sz w:val="24"/>
          <w:u w:val="single"/>
        </w:rPr>
        <w:t>Modification</w:t>
      </w:r>
      <w:r>
        <w:rPr>
          <w:b/>
          <w:sz w:val="24"/>
        </w:rPr>
        <w:t xml:space="preserve">.  </w:t>
      </w:r>
      <w:r>
        <w:rPr>
          <w:sz w:val="24"/>
        </w:rPr>
        <w:t>Neither Assignor, Assignee, nor ONEOK shall have the right to amend the Amended Purchase Agreement during the Assignment period without the written consent of the other parties to this Agreement.</w:t>
      </w:r>
    </w:p>
    <w:p>
      <w:pPr>
        <w:pStyle w:val="Normal"/>
        <w:jc w:val="both"/>
        <w:rPr>
          <w:sz w:val="24"/>
        </w:rPr>
      </w:pPr>
      <w:r>
        <w:rPr>
          <w:sz w:val="24"/>
        </w:rPr>
      </w:r>
    </w:p>
    <w:p>
      <w:pPr>
        <w:pStyle w:val="Normal"/>
        <w:numPr>
          <w:ilvl w:val="0"/>
          <w:numId w:val="1"/>
        </w:numPr>
        <w:jc w:val="both"/>
        <w:rPr>
          <w:sz w:val="24"/>
        </w:rPr>
      </w:pPr>
      <w:r>
        <w:rPr>
          <w:b/>
          <w:sz w:val="24"/>
          <w:u w:val="single"/>
        </w:rPr>
        <w:t>Governing Law</w:t>
      </w:r>
      <w:r>
        <w:rPr>
          <w:b/>
          <w:sz w:val="24"/>
        </w:rPr>
        <w:t xml:space="preserve">.  </w:t>
      </w:r>
      <w:r>
        <w:rPr>
          <w:sz w:val="24"/>
        </w:rPr>
        <w:t xml:space="preserve">This Agreement shall be governed and construed in accordance with the laws of the State of Texas, without regard to conflicts of laws, which might otherwise require the application of the laws of a different jurisdiction. </w:t>
      </w:r>
    </w:p>
    <w:p>
      <w:pPr>
        <w:pStyle w:val="Normal"/>
        <w:jc w:val="both"/>
        <w:rPr>
          <w:sz w:val="24"/>
        </w:rPr>
      </w:pPr>
      <w:r>
        <w:rPr>
          <w:sz w:val="24"/>
        </w:rPr>
      </w:r>
    </w:p>
    <w:p>
      <w:pPr>
        <w:pStyle w:val="Normal"/>
        <w:numPr>
          <w:ilvl w:val="0"/>
          <w:numId w:val="1"/>
        </w:numPr>
        <w:jc w:val="both"/>
        <w:rPr>
          <w:sz w:val="24"/>
        </w:rPr>
      </w:pPr>
      <w:r>
        <w:rPr>
          <w:b/>
          <w:sz w:val="24"/>
          <w:u w:val="single"/>
        </w:rPr>
        <w:t>Completeness</w:t>
      </w:r>
      <w:r>
        <w:rPr>
          <w:b/>
          <w:sz w:val="24"/>
        </w:rPr>
        <w:t>.</w:t>
      </w:r>
      <w:r>
        <w:rPr>
          <w:sz w:val="24"/>
        </w:rPr>
        <w:t xml:space="preserve">  This document and the related documents referenced herein set forth the entire agreement of the parties and supercede all prior and existing agreements relating to the subject matter hereof, wither oral or written, consistent or inconsistent. </w:t>
      </w:r>
    </w:p>
    <w:p>
      <w:pPr>
        <w:pStyle w:val="Normal"/>
        <w:jc w:val="both"/>
        <w:rPr>
          <w:sz w:val="24"/>
        </w:rPr>
      </w:pPr>
      <w:r>
        <w:rPr>
          <w:sz w:val="24"/>
        </w:rPr>
      </w:r>
    </w:p>
    <w:p>
      <w:pPr>
        <w:pStyle w:val="Normal"/>
        <w:numPr>
          <w:ilvl w:val="0"/>
          <w:numId w:val="1"/>
        </w:numPr>
        <w:jc w:val="both"/>
        <w:rPr>
          <w:sz w:val="24"/>
        </w:rPr>
      </w:pPr>
      <w:r>
        <w:rPr>
          <w:b/>
          <w:sz w:val="24"/>
          <w:u w:val="single"/>
        </w:rPr>
        <w:t>Counterparts</w:t>
      </w:r>
      <w:r>
        <w:rPr>
          <w:b/>
          <w:sz w:val="24"/>
        </w:rPr>
        <w:t xml:space="preserve">.  </w:t>
      </w:r>
      <w:r>
        <w:rPr>
          <w:sz w:val="24"/>
        </w:rPr>
        <w:t>This Agreement may be signed in one or more counterparts, which together shall constitute one and the same agreement.  Any signatures transmitted via facsimile transmission in connection with the performance by a party of its obligations hereunder shall be deemed as an original for all purposes.</w:t>
      </w:r>
    </w:p>
    <w:p>
      <w:pPr>
        <w:pStyle w:val="Normal"/>
        <w:jc w:val="both"/>
        <w:rPr>
          <w:sz w:val="24"/>
        </w:rPr>
      </w:pPr>
      <w:r>
        <w:rPr>
          <w:sz w:val="24"/>
        </w:rPr>
      </w:r>
      <w:r>
        <w:br w:type="page"/>
      </w:r>
    </w:p>
    <w:p>
      <w:pPr>
        <w:pStyle w:val="Normal"/>
        <w:jc w:val="both"/>
        <w:rPr>
          <w:sz w:val="24"/>
        </w:rPr>
      </w:pPr>
      <w:r>
        <w:rPr>
          <w:sz w:val="24"/>
        </w:rPr>
      </w:r>
    </w:p>
    <w:p>
      <w:pPr>
        <w:pStyle w:val="Normal"/>
        <w:jc w:val="both"/>
        <w:rPr>
          <w:sz w:val="24"/>
        </w:rPr>
      </w:pPr>
      <w:r>
        <w:rPr>
          <w:sz w:val="24"/>
        </w:rPr>
      </w:r>
    </w:p>
    <w:p>
      <w:pPr>
        <w:pStyle w:val="Normal"/>
        <w:ind w:start="720" w:end="0"/>
        <w:jc w:val="both"/>
        <w:rPr>
          <w:sz w:val="24"/>
        </w:rPr>
      </w:pPr>
      <w:r>
        <w:rPr>
          <w:sz w:val="24"/>
        </w:rPr>
        <w:t>IN WITNESS WHEREOF, the parties hereto have executed this Assignment effective as of the Effective Date set forth above.</w:t>
      </w:r>
    </w:p>
    <w:p>
      <w:pPr>
        <w:pStyle w:val="Normal"/>
        <w:ind w:start="720" w:end="0"/>
        <w:jc w:val="both"/>
        <w:rPr>
          <w:sz w:val="24"/>
        </w:rPr>
      </w:pPr>
      <w:r>
        <w:rPr>
          <w:sz w:val="24"/>
        </w:rPr>
      </w:r>
    </w:p>
    <w:p>
      <w:pPr>
        <w:pStyle w:val="Normal"/>
        <w:ind w:start="720" w:end="0"/>
        <w:jc w:val="both"/>
        <w:rPr>
          <w:b/>
          <w:sz w:val="24"/>
        </w:rPr>
      </w:pPr>
      <w:r>
        <w:rPr>
          <w:b/>
          <w:sz w:val="24"/>
        </w:rPr>
        <w:t xml:space="preserve">Sandia Resources Corporation, </w:t>
      </w:r>
    </w:p>
    <w:p>
      <w:pPr>
        <w:pStyle w:val="Normal"/>
        <w:ind w:start="720" w:end="0"/>
        <w:jc w:val="both"/>
        <w:rPr>
          <w:b/>
          <w:sz w:val="24"/>
        </w:rPr>
      </w:pPr>
      <w:r>
        <w:rPr>
          <w:b/>
          <w:sz w:val="24"/>
        </w:rPr>
        <w:t>Assignor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 xml:space="preserve">Enron North America Corp., </w:t>
      </w:r>
    </w:p>
    <w:p>
      <w:pPr>
        <w:pStyle w:val="Normal"/>
        <w:ind w:start="720" w:end="0"/>
        <w:jc w:val="both"/>
        <w:rPr>
          <w:b/>
          <w:sz w:val="24"/>
        </w:rPr>
      </w:pPr>
      <w:r>
        <w:rPr>
          <w:b/>
          <w:sz w:val="24"/>
        </w:rPr>
        <w:t>Assignee</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ONEOK Energy Marketing &amp; Trading, L.P.</w:t>
      </w:r>
    </w:p>
    <w:p>
      <w:pPr>
        <w:pStyle w:val="Normal"/>
        <w:ind w:start="720" w:end="0"/>
        <w:jc w:val="both"/>
        <w:rPr>
          <w:b/>
          <w:sz w:val="24"/>
        </w:rPr>
      </w:pPr>
      <w:r>
        <w:rPr>
          <w:b/>
          <w:sz w:val="24"/>
        </w:rPr>
        <w:t>by ONEOK Energy Marketing &amp; Trading Company</w:t>
      </w:r>
    </w:p>
    <w:p>
      <w:pPr>
        <w:pStyle w:val="Normal"/>
        <w:ind w:start="720" w:end="0"/>
        <w:jc w:val="both"/>
        <w:rPr>
          <w:b/>
          <w:sz w:val="24"/>
        </w:rPr>
      </w:pPr>
      <w:r>
        <w:rPr>
          <w:b/>
          <w:sz w:val="24"/>
        </w:rPr>
        <w:t>its General Partner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ind w:start="720" w:end="0"/>
        <w:jc w:val="both"/>
        <w:rPr>
          <w:b/>
          <w:sz w:val="24"/>
        </w:rPr>
      </w:pPr>
      <w:r>
        <w:rPr>
          <w:b/>
          <w:sz w:val="24"/>
        </w:rPr>
        <w:t xml:space="preserve"> </w:t>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t>Section 3.2 – The Spot Price Standard is selected with the Spot Price being equal to the “Daily Midpoint” price set forth in Gas Daily®  (Financial Times Energy), in the column “Daily Price Survey” under the listing applicable to ________________.</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spacing w:val="-3"/>
          <w:sz w:val="20"/>
        </w:rPr>
        <w:t>“</w:t>
      </w:r>
      <w:r>
        <w:rPr>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sz w:val="20"/>
        </w:rPr>
      </w:pPr>
      <w:r>
        <w:rPr>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spacing w:val="-3"/>
          <w:sz w:val="20"/>
        </w:rPr>
        <w:t>“</w:t>
      </w:r>
      <w:r>
        <w:rPr>
          <w:spacing w:val="-3"/>
          <w:sz w:val="20"/>
        </w:rPr>
        <w:t>11.3.</w:t>
        <w:tab/>
        <w:t xml:space="preserve">Neither party shall be entitled to the benefit of the provisions of Force Majeure to the extent performance is affected by any or all of the following circumstances:  </w:t>
      </w:r>
      <w:r>
        <w:rPr>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spacing w:val="-3"/>
          <w:sz w:val="20"/>
        </w:rPr>
        <w:t xml:space="preserve"> (</w:t>
      </w:r>
      <w:r>
        <w:rPr>
          <w:spacing w:val="-3"/>
          <w:sz w:val="20"/>
          <w:lang w:val="en-CA" w:eastAsia="en-CA"/>
        </w:rPr>
        <w:t>iv</w:t>
      </w:r>
      <w:r>
        <w:rPr>
          <w:spacing w:val="-3"/>
          <w:sz w:val="20"/>
        </w:rPr>
        <w:t>) the curtailment of interruptible or secondary firm transportation unless primary, in-path, firm transportation is also curtailed; (</w:t>
      </w:r>
      <w:r>
        <w:rPr>
          <w:spacing w:val="-3"/>
          <w:sz w:val="20"/>
          <w:lang w:val="en-CA" w:eastAsia="en-CA"/>
        </w:rPr>
        <w:t>v</w:t>
      </w:r>
      <w:r>
        <w:rPr>
          <w:spacing w:val="-3"/>
          <w:sz w:val="20"/>
        </w:rPr>
        <w:t>) the party claiming excuse failed to remedy the condition and to resume the performance of such covenants or obligations with reasonable dispatch; or (</w:t>
      </w:r>
      <w:r>
        <w:rPr>
          <w:spacing w:val="-3"/>
          <w:sz w:val="20"/>
          <w:lang w:val="en-CA" w:eastAsia="en-CA"/>
        </w:rPr>
        <w:t>vi</w:t>
      </w:r>
      <w:r>
        <w:rPr>
          <w:spacing w:val="-3"/>
          <w:sz w:val="20"/>
        </w:rPr>
        <w:t>) economic hardship.  The party claiming Force Majeure shall not be excused from its responsibility for Imbalance Charges</w:t>
      </w:r>
      <w:r>
        <w:rPr>
          <w:sz w:val="20"/>
        </w:rPr>
        <w:t>.”</w:t>
      </w:r>
    </w:p>
    <w:p>
      <w:pPr>
        <w:pStyle w:val="BodyTextIndent"/>
        <w:rPr>
          <w:sz w:val="20"/>
        </w:rPr>
      </w:pPr>
      <w:r>
        <w:rPr>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sz w:val="20"/>
        </w:rPr>
        <w:t>“</w:t>
      </w:r>
      <w:r>
        <w:rPr>
          <w:sz w:val="20"/>
        </w:rPr>
        <w:t>Section 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sz w:val="20"/>
        </w:rPr>
      </w:pPr>
      <w:r>
        <w:rPr>
          <w:sz w:val="20"/>
        </w:rPr>
      </w:r>
    </w:p>
    <w:p>
      <w:pPr>
        <w:pStyle w:val="Normal"/>
        <w:ind w:start="720" w:end="0"/>
        <w:jc w:val="both"/>
        <w:rPr>
          <w:b/>
          <w:sz w:val="24"/>
        </w:rPr>
      </w:pPr>
      <w:r>
        <w:rPr>
          <w:b/>
          <w:sz w:val="24"/>
        </w:rPr>
      </w:r>
    </w:p>
    <w:p>
      <w:pPr>
        <w:pStyle w:val="Normal"/>
        <w:ind w:start="1440" w:end="0"/>
        <w:jc w:val="both"/>
        <w:rPr>
          <w:b/>
          <w:sz w:val="24"/>
          <w:u w:val="single"/>
        </w:rPr>
      </w:pPr>
      <w:r>
        <w:rPr>
          <w:b/>
          <w:sz w:val="24"/>
          <w:u w:val="single"/>
        </w:rPr>
      </w:r>
    </w:p>
    <w:p>
      <w:pPr>
        <w:pStyle w:val="Normal"/>
        <w:ind w:start="1440" w:end="0"/>
        <w:jc w:val="both"/>
        <w:rPr>
          <w:sz w:val="24"/>
        </w:rPr>
      </w:pPr>
      <w:r>
        <w:rPr>
          <w:sz w:val="24"/>
        </w:rPr>
        <w:t xml:space="preserve">         </w:t>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Sandia_Enron_Assignment__Oneok_1.doc</w:t>
    </w:r>
    <w:r>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Sandia_Enron_Assignment__Oneok_1.doc</w:t>
    </w:r>
    <w:r>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lvl w:ilvl="1">
      <w:start w:val="2"/>
      <w:isLgl/>
      <w:numFmt w:val="decimal"/>
      <w:lvlText w:val="%1.%2"/>
      <w:lvlJc w:val="start"/>
      <w:pPr>
        <w:tabs>
          <w:tab w:val="num" w:pos="1950"/>
        </w:tabs>
        <w:ind w:start="1950" w:hanging="51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2001-04-20T18:18:00Z</dcterms:created>
  <dc:creator>NCE Client</dc:creator>
  <dc:description/>
  <dc:language>en-CA</dc:language>
  <cp:lastModifiedBy>gnemec</cp:lastModifiedBy>
  <cp:lastPrinted>2001-04-20T15:29:00Z</cp:lastPrinted>
  <dcterms:modified xsi:type="dcterms:W3CDTF">2001-04-20T18:20:00Z</dcterms:modified>
  <cp:revision>3</cp:revision>
  <dc:subject/>
  <dc:title>TEMPORARY ASSIGNMENT AND AMENDMENT AGREEMENT</dc:title>
</cp:coreProperties>
</file>