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end"/>
        <w:rPr>
          <w:rFonts w:ascii="Arial" w:hAnsi="Arial" w:cs="Arial"/>
          <w:sz w:val="24"/>
        </w:rPr>
      </w:pPr>
      <w:r>
        <w:rPr>
          <w:rFonts w:cs="Arial" w:ascii="Arial" w:hAnsi="Arial"/>
          <w:sz w:val="24"/>
        </w:rPr>
        <w:t>Barclays Capital</w:t>
      </w:r>
    </w:p>
    <w:p>
      <w:pPr>
        <w:pStyle w:val="Header"/>
        <w:jc w:val="end"/>
        <w:rPr>
          <w:rFonts w:ascii="Arial" w:hAnsi="Arial" w:cs="Arial"/>
          <w:sz w:val="24"/>
        </w:rPr>
      </w:pPr>
      <w:r>
        <w:rPr>
          <w:rFonts w:cs="Arial" w:ascii="Arial" w:hAnsi="Arial"/>
          <w:sz w:val="24"/>
        </w:rPr>
        <w:t>5 The North Colonnade</w:t>
      </w:r>
    </w:p>
    <w:p>
      <w:pPr>
        <w:pStyle w:val="Header"/>
        <w:jc w:val="end"/>
        <w:rPr>
          <w:rFonts w:ascii="Arial" w:hAnsi="Arial" w:cs="Arial"/>
          <w:sz w:val="24"/>
        </w:rPr>
      </w:pPr>
      <w:r>
        <w:rPr>
          <w:rFonts w:cs="Arial" w:ascii="Arial" w:hAnsi="Arial"/>
          <w:sz w:val="24"/>
        </w:rPr>
        <w:t>Canary Wharf</w:t>
      </w:r>
    </w:p>
    <w:p>
      <w:pPr>
        <w:pStyle w:val="Header"/>
        <w:jc w:val="end"/>
        <w:rPr>
          <w:rFonts w:ascii="Arial" w:hAnsi="Arial" w:cs="Arial"/>
          <w:sz w:val="24"/>
        </w:rPr>
      </w:pPr>
      <w:r>
        <w:rPr>
          <w:rFonts w:cs="Arial" w:ascii="Arial" w:hAnsi="Arial"/>
          <w:sz w:val="24"/>
        </w:rPr>
        <w:t>London E14 4BB</w:t>
      </w:r>
    </w:p>
    <w:p>
      <w:pPr>
        <w:pStyle w:val="Header"/>
        <w:jc w:val="end"/>
        <w:rPr>
          <w:rFonts w:ascii="Arial" w:hAnsi="Arial" w:cs="Arial"/>
          <w:sz w:val="24"/>
        </w:rPr>
      </w:pPr>
      <w:r>
        <w:rPr>
          <w:rFonts w:cs="Arial" w:ascii="Arial" w:hAnsi="Arial"/>
          <w:sz w:val="24"/>
        </w:rPr>
      </w:r>
    </w:p>
    <w:p>
      <w:pPr>
        <w:pStyle w:val="Header"/>
        <w:jc w:val="end"/>
        <w:rPr/>
      </w:pPr>
      <w:r>
        <w:rPr/>
      </w:r>
    </w:p>
    <w:p>
      <w:pPr>
        <w:pStyle w:val="Header"/>
        <w:jc w:val="end"/>
        <w:rPr/>
      </w:pPr>
      <w:r>
        <w:rPr/>
      </w:r>
    </w:p>
    <w:p>
      <w:pPr>
        <w:pStyle w:val="Header"/>
        <w:jc w:val="end"/>
        <w:rPr/>
      </w:pPr>
      <w:r>
        <w:rPr/>
      </w:r>
    </w:p>
    <w:p>
      <w:pPr>
        <w:pStyle w:val="Header"/>
        <w:jc w:val="end"/>
        <w:rPr/>
      </w:pPr>
      <w:r>
        <w:rPr/>
      </w:r>
    </w:p>
    <w:p>
      <w:pPr>
        <w:pStyle w:val="Header"/>
        <w:jc w:val="end"/>
        <w:rPr/>
      </w:pPr>
      <w:r>
        <w:rPr/>
      </w:r>
    </w:p>
    <w:p>
      <w:pPr>
        <w:pStyle w:val="Header"/>
        <w:jc w:val="end"/>
        <w:rPr/>
      </w:pPr>
      <w:r>
        <w:rPr/>
        <w:drawing>
          <wp:inline distT="0" distB="0" distL="0" distR="0">
            <wp:extent cx="2155190" cy="431165"/>
            <wp:effectExtent l="0" t="0" r="0" b="0"/>
            <wp:docPr id="1" name="Barclay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clays1" descr="" title=""/>
                    <pic:cNvPicPr>
                      <a:picLocks noChangeAspect="1" noChangeArrowheads="1"/>
                    </pic:cNvPicPr>
                  </pic:nvPicPr>
                  <pic:blipFill>
                    <a:blip r:embed="rId2"/>
                    <a:srcRect l="-3" t="-15" r="-3" b="-15"/>
                    <a:stretch>
                      <a:fillRect/>
                    </a:stretch>
                  </pic:blipFill>
                  <pic:spPr bwMode="auto">
                    <a:xfrm>
                      <a:off x="0" y="0"/>
                      <a:ext cx="2155190" cy="431165"/>
                    </a:xfrm>
                    <a:prstGeom prst="rect">
                      <a:avLst/>
                    </a:prstGeom>
                    <a:noFill/>
                  </pic:spPr>
                </pic:pic>
              </a:graphicData>
            </a:graphic>
          </wp:inline>
        </w:drawing>
      </w:r>
    </w:p>
    <w:p>
      <w:pPr>
        <w:pStyle w:val="Header"/>
        <w:jc w:val="end"/>
        <w:rPr/>
      </w:pPr>
      <w:r>
        <w:rPr/>
      </w:r>
    </w:p>
    <w:p>
      <w:pPr>
        <w:pStyle w:val="Normal"/>
        <w:tabs>
          <w:tab w:val="clear" w:pos="720"/>
          <w:tab w:val="left" w:pos="1440" w:leader="none"/>
        </w:tabs>
        <w:spacing w:before="0" w:after="80"/>
        <w:ind w:end="569"/>
        <w:rPr>
          <w:b/>
          <w:sz w:val="20"/>
        </w:rPr>
      </w:pPr>
      <w:r>
        <w:rPr>
          <w:b/>
          <w:sz w:val="20"/>
        </w:rPr>
      </w:r>
    </w:p>
    <w:p>
      <w:pPr>
        <w:pStyle w:val="Normal"/>
        <w:tabs>
          <w:tab w:val="clear" w:pos="720"/>
          <w:tab w:val="left" w:pos="1440" w:leader="none"/>
        </w:tabs>
        <w:spacing w:before="0" w:after="80"/>
        <w:ind w:end="569"/>
        <w:jc w:val="center"/>
        <w:rPr>
          <w:b/>
          <w:sz w:val="56"/>
        </w:rPr>
      </w:pPr>
      <w:r>
        <w:rPr>
          <w:b/>
          <w:sz w:val="56"/>
        </w:rPr>
        <w:t>DRAFT CONFIRMATION</w:t>
      </w:r>
    </w:p>
    <w:p>
      <w:pPr>
        <w:pStyle w:val="Normal"/>
        <w:tabs>
          <w:tab w:val="clear" w:pos="720"/>
          <w:tab w:val="left" w:pos="1440" w:leader="none"/>
        </w:tabs>
        <w:spacing w:before="0" w:after="80"/>
        <w:ind w:end="569"/>
        <w:rPr>
          <w:b/>
          <w:sz w:val="20"/>
        </w:rPr>
      </w:pPr>
      <w:r>
        <w:rPr>
          <w:b/>
          <w:sz w:val="20"/>
        </w:rPr>
      </w:r>
    </w:p>
    <w:p>
      <w:pPr>
        <w:pStyle w:val="Normal"/>
        <w:tabs>
          <w:tab w:val="clear" w:pos="720"/>
          <w:tab w:val="left" w:pos="1440" w:leader="none"/>
        </w:tabs>
        <w:spacing w:before="0" w:after="80"/>
        <w:ind w:end="569"/>
        <w:rPr/>
      </w:pPr>
      <w:r>
        <w:rPr>
          <w:b/>
          <w:sz w:val="20"/>
        </w:rPr>
        <w:t>To:</w:t>
        <w:tab/>
      </w:r>
      <w:r>
        <w:rPr>
          <w:color w:val="FF0000"/>
          <w:sz w:val="20"/>
        </w:rPr>
        <w:t>LOST CREEK GAS GATHERING</w:t>
      </w:r>
      <w:r>
        <w:rPr>
          <w:sz w:val="20"/>
        </w:rPr>
        <w:tab/>
      </w:r>
    </w:p>
    <w:p>
      <w:pPr>
        <w:pStyle w:val="Normal"/>
        <w:tabs>
          <w:tab w:val="clear" w:pos="720"/>
          <w:tab w:val="left" w:pos="1440" w:leader="none"/>
        </w:tabs>
        <w:spacing w:before="0" w:after="80"/>
        <w:rPr/>
      </w:pPr>
      <w:r>
        <w:rPr>
          <w:b/>
          <w:sz w:val="20"/>
        </w:rPr>
        <w:t>Attn.:</w:t>
      </w:r>
      <w:r>
        <w:rPr>
          <w:sz w:val="20"/>
        </w:rPr>
        <w:tab/>
      </w:r>
    </w:p>
    <w:p>
      <w:pPr>
        <w:pStyle w:val="Normal"/>
        <w:tabs>
          <w:tab w:val="clear" w:pos="720"/>
          <w:tab w:val="left" w:pos="1440" w:leader="none"/>
        </w:tabs>
        <w:spacing w:before="0" w:after="80"/>
        <w:ind w:end="569"/>
        <w:rPr/>
      </w:pPr>
      <w:r>
        <w:rPr>
          <w:b/>
          <w:sz w:val="20"/>
        </w:rPr>
        <w:t xml:space="preserve">Fax No:  </w:t>
      </w:r>
      <w:r>
        <w:rPr>
          <w:sz w:val="20"/>
        </w:rPr>
        <w:tab/>
      </w:r>
    </w:p>
    <w:p>
      <w:pPr>
        <w:pStyle w:val="Normal"/>
        <w:tabs>
          <w:tab w:val="clear" w:pos="720"/>
          <w:tab w:val="left" w:pos="1440" w:leader="none"/>
        </w:tabs>
        <w:spacing w:before="0" w:after="80"/>
        <w:ind w:end="569"/>
        <w:rPr/>
      </w:pPr>
      <w:r>
        <w:rPr>
          <w:b/>
          <w:sz w:val="20"/>
        </w:rPr>
        <w:t>Date:</w:t>
      </w:r>
      <w:r>
        <w:rPr>
          <w:sz w:val="20"/>
        </w:rPr>
        <w:tab/>
        <w:t>September 7, 2000</w:t>
      </w:r>
    </w:p>
    <w:p>
      <w:pPr>
        <w:pStyle w:val="Normal"/>
        <w:tabs>
          <w:tab w:val="clear" w:pos="720"/>
          <w:tab w:val="left" w:pos="1440" w:leader="none"/>
        </w:tabs>
        <w:spacing w:before="0" w:after="80"/>
        <w:ind w:end="569"/>
        <w:rPr/>
      </w:pPr>
      <w:r>
        <w:rPr>
          <w:b/>
          <w:sz w:val="20"/>
        </w:rPr>
        <w:t>Reference:</w:t>
      </w:r>
      <w:r>
        <w:rPr>
          <w:sz w:val="20"/>
        </w:rPr>
        <w:tab/>
      </w:r>
    </w:p>
    <w:p>
      <w:pPr>
        <w:pStyle w:val="Normal"/>
        <w:tabs>
          <w:tab w:val="clear" w:pos="720"/>
          <w:tab w:val="left" w:pos="1440" w:leader="none"/>
        </w:tabs>
        <w:spacing w:before="0" w:after="80"/>
        <w:ind w:end="569"/>
        <w:rPr>
          <w:sz w:val="20"/>
        </w:rPr>
      </w:pPr>
      <w:r>
        <w:rPr>
          <w:sz w:val="20"/>
        </w:rPr>
      </w:r>
    </w:p>
    <w:p>
      <w:pPr>
        <w:pStyle w:val="Normal"/>
        <w:spacing w:before="120" w:after="240"/>
        <w:jc w:val="center"/>
        <w:rPr>
          <w:b/>
          <w:sz w:val="24"/>
          <w:u w:val="single"/>
        </w:rPr>
      </w:pPr>
      <w:r>
        <w:rPr>
          <w:b/>
          <w:sz w:val="24"/>
          <w:u w:val="single"/>
        </w:rPr>
        <w:t>Rate Swap Confirmation</w:t>
      </w:r>
    </w:p>
    <w:p>
      <w:pPr>
        <w:pStyle w:val="Normal"/>
        <w:spacing w:before="0" w:after="80"/>
        <w:jc w:val="both"/>
        <w:rPr/>
      </w:pPr>
      <w:bookmarkStart w:id="0" w:name="NoNova"/>
      <w:bookmarkEnd w:id="0"/>
      <w:r>
        <w:rPr>
          <w:sz w:val="20"/>
        </w:rPr>
        <w:t xml:space="preserve">The purpose of this letter agreement is to confirm the terms and conditions of the Transaction entered into between Barclays Bank PLC </w:t>
      </w:r>
      <w:r>
        <w:rPr>
          <w:caps/>
          <w:sz w:val="20"/>
        </w:rPr>
        <w:t>(</w:t>
      </w:r>
      <w:r>
        <w:rPr>
          <w:sz w:val="20"/>
        </w:rPr>
        <w:t xml:space="preserve">London Head Office) (“Barclays”) and </w:t>
      </w:r>
      <w:r>
        <w:rPr>
          <w:color w:val="FF0000"/>
          <w:sz w:val="20"/>
        </w:rPr>
        <w:t>LOST CREEK GAS GATHERING</w:t>
      </w:r>
      <w:r>
        <w:rPr>
          <w:sz w:val="20"/>
        </w:rPr>
        <w:t xml:space="preserve"> (the “Counterparty”) on the Trade Date specified below (the “Transaction”).  This letter agreement constitutes a “Confirmation” for purposes of the Agreement referred to below.</w:t>
      </w:r>
    </w:p>
    <w:p>
      <w:pPr>
        <w:pStyle w:val="Normal"/>
        <w:spacing w:before="0" w:after="80"/>
        <w:jc w:val="both"/>
        <w:rPr>
          <w:sz w:val="20"/>
        </w:rPr>
      </w:pPr>
      <w:bookmarkStart w:id="1" w:name="NoNova"/>
      <w:bookmarkStart w:id="2" w:name="Amended"/>
      <w:bookmarkEnd w:id="1"/>
      <w:bookmarkEnd w:id="2"/>
      <w:r>
        <w:rPr>
          <w:sz w:val="20"/>
        </w:rPr>
        <w:t>This letter agreement supersedes any previous confirmation or other writing with respect to the Transaction described below and evidences a complete binding agreement between Barclays and Counterparty as to the terms of the Transaction described below.</w:t>
      </w:r>
    </w:p>
    <w:p>
      <w:pPr>
        <w:pStyle w:val="Normal"/>
        <w:spacing w:before="0" w:after="80"/>
        <w:jc w:val="both"/>
        <w:rPr>
          <w:sz w:val="20"/>
        </w:rPr>
      </w:pPr>
      <w:bookmarkStart w:id="3" w:name="Amended"/>
      <w:bookmarkStart w:id="4" w:name="NoMasterSection"/>
      <w:bookmarkEnd w:id="3"/>
      <w:bookmarkEnd w:id="4"/>
      <w:r>
        <w:rPr>
          <w:sz w:val="20"/>
        </w:rPr>
        <w:t xml:space="preserve">If Barclays and Counterparty are parties to either a 1987 Interest Rate and Currency Exchange Agreement, or a 1992 ISDA Master Agreement, this Confirmation supplements, forms a part of, and is subject to such 1987 Interest Rate and Currency Exchange Agreement or such 1992 ISDA Master Agreement, as the case may be.  </w:t>
      </w:r>
    </w:p>
    <w:p>
      <w:pPr>
        <w:pStyle w:val="Normal"/>
        <w:spacing w:before="0" w:after="80"/>
        <w:jc w:val="both"/>
        <w:rPr>
          <w:sz w:val="20"/>
        </w:rPr>
      </w:pPr>
      <w:r>
        <w:rPr>
          <w:sz w:val="20"/>
        </w:rPr>
        <w:t xml:space="preserve">In the event Barclays and Counterparty have not entered into a 1987 Interest Rate and Currency Exchange Agreement or a 1992 ISDA Master Agreement, the parties hereto agree to negotiate in good faith and enter into either a 1987 Interest Rate and Currency Exchange Agreement or a 1992 ISDA Master Agreement with such additions, deletions and modifications thereto as the parties hereto may agree. </w:t>
      </w:r>
    </w:p>
    <w:p>
      <w:pPr>
        <w:pStyle w:val="Normal"/>
        <w:spacing w:before="0" w:after="80"/>
        <w:jc w:val="both"/>
        <w:rPr>
          <w:sz w:val="20"/>
        </w:rPr>
      </w:pPr>
      <w:r>
        <w:rPr>
          <w:sz w:val="20"/>
        </w:rPr>
        <w:t xml:space="preserve">Upon execution and delivery by the parties hereto of a 1987 Interest Rate and Currency Exchange Agreement or a 1992 ISDA Master Agreement, the preceding sentence shall be of no further force and effect, and this Confirmation shall supplement, form a part of and be subject to the terms of such 1987 Interest Rate and Currency Exchange Agreement or such 1992 ISDA Master Agreement, as the case may be. </w:t>
      </w:r>
    </w:p>
    <w:p>
      <w:pPr>
        <w:pStyle w:val="Normal"/>
        <w:spacing w:before="0" w:after="80"/>
        <w:jc w:val="both"/>
        <w:rPr/>
      </w:pPr>
      <w:r>
        <w:rPr>
          <w:sz w:val="20"/>
        </w:rPr>
        <w:t>Until Barclays and Counterparty execute and deliver a 1987 Interest Rate and Currency Exchange Agreement or a 1992 ISDA Master Agreement, this Confirmation (together with all other documents confirming transactions previously entered into between the parties hereto, which documents contemplate that the parties will enter into such an Agreement, but which are not part of such an Agreement, notwithstanding anything to the contrary in such documents) shall be deemed to supplement, form a part of, and be subject to an agreement in the form of a 1992 ISDA Master Agreement (Multicurrency</w:t>
        <w:noBreakHyphen/>
        <w:t xml:space="preserve">Cross Border), as published by the International Swaps and Derivatives Association, Inc. (“ISDA”) (without any Schedule thereto), governed by </w:t>
      </w:r>
      <w:r>
        <w:rPr>
          <w:color w:val="FF0000"/>
          <w:sz w:val="20"/>
        </w:rPr>
        <w:t>New York</w:t>
      </w:r>
      <w:r>
        <w:rPr>
          <w:sz w:val="20"/>
        </w:rPr>
        <w:t xml:space="preserve"> law, with a Termination Currency of </w:t>
      </w:r>
      <w:r>
        <w:rPr>
          <w:color w:val="FF0000"/>
          <w:sz w:val="20"/>
        </w:rPr>
        <w:t>USD</w:t>
      </w:r>
      <w:r>
        <w:rPr>
          <w:sz w:val="20"/>
        </w:rPr>
        <w:t xml:space="preserve"> and including as section 6(f) of such agreement the provisions of Section V(A) of ISDA’s User’s Guide to the 1992 Master Agreements, as if, on the “Trade Date” of the first such transaction, Barclays and Counterparty had executed an agreement in such form.  </w:t>
      </w:r>
    </w:p>
    <w:p>
      <w:pPr>
        <w:pStyle w:val="Normal"/>
        <w:spacing w:before="0" w:after="80"/>
        <w:jc w:val="both"/>
        <w:rPr>
          <w:sz w:val="20"/>
        </w:rPr>
      </w:pPr>
      <w:r>
        <w:rPr>
          <w:sz w:val="20"/>
        </w:rPr>
        <w:t>As used herein, “Agreement” at any time shall mean whichever of the 1987 Interest Rate and Currency Exchange Agreement or 1992 ISDA Master Agreement this Confirmation then supplements, forms a part of and is subject to (or is deemed to supplement, form a part of and be subject to, as provided above).  All provisions of the Agreement shall govern this Confirmation, except as expressly modified below.</w:t>
      </w:r>
    </w:p>
    <w:p>
      <w:pPr>
        <w:pStyle w:val="Normal"/>
        <w:spacing w:before="0" w:after="80"/>
        <w:jc w:val="both"/>
        <w:rPr/>
      </w:pPr>
      <w:bookmarkStart w:id="5" w:name="NoMasterSection"/>
      <w:bookmarkEnd w:id="5"/>
      <w:r>
        <w:rPr>
          <w:sz w:val="20"/>
        </w:rPr>
        <w:t xml:space="preserve">The definitions and provisions contained in the 1991 ISDA Definitions, as amended and supplemented by the 1998 Supplement to the 1991 ISDA Definitions, also as amended and supplemented by the 1998 ISDA Euro Definitions (all as published by the International Swaps and Derivatives Association, Inc. (“ISDA”)) are incorporated into this Confirmation. </w:t>
      </w:r>
      <w:bookmarkStart w:id="6" w:name="NoMasterSection2"/>
      <w:r>
        <w:rPr>
          <w:sz w:val="20"/>
        </w:rPr>
        <w:t xml:space="preserve">In the event of any inconsistency between those definitions and provisions and this Confirmation, this Confirmation will govern for purposes of the Transaction. </w:t>
      </w:r>
      <w:bookmarkEnd w:id="6"/>
      <w:r>
        <w:rPr>
          <w:sz w:val="20"/>
        </w:rPr>
        <w:t xml:space="preserve">References herein to a “Transaction” shall be deemed to be references to a “Swap Transaction” for the purposes of the 1991 ISDA Definitions.  </w:t>
      </w:r>
      <w:r>
        <w:rPr>
          <w:color w:val="FF0000"/>
          <w:sz w:val="20"/>
        </w:rPr>
        <w:t>Capitalized</w:t>
      </w:r>
      <w:r>
        <w:rPr>
          <w:i/>
          <w:color w:val="FF0000"/>
          <w:sz w:val="20"/>
        </w:rPr>
        <w:t xml:space="preserve"> </w:t>
      </w:r>
      <w:r>
        <w:rPr>
          <w:sz w:val="20"/>
        </w:rPr>
        <w:t xml:space="preserve">terms used in this Confirmation and not defined in this Confirmation or the </w:t>
      </w:r>
      <w:bookmarkStart w:id="7" w:name="External1"/>
      <w:r>
        <w:rPr>
          <w:sz w:val="20"/>
        </w:rPr>
        <w:t>1991 ISDA Definitions shall have the respective meanings assigned in the Agreement.</w:t>
      </w:r>
      <w:bookmarkEnd w:id="7"/>
      <w:r>
        <w:rPr>
          <w:sz w:val="20"/>
        </w:rPr>
        <w:t xml:space="preserve"> Each party hereto agrees to make payment to the other party hereto in accordance with the provisions of this Confirmation and of the Agreement.</w:t>
      </w:r>
    </w:p>
    <w:p>
      <w:pPr>
        <w:pStyle w:val="BodyText"/>
        <w:rPr/>
      </w:pPr>
      <w:bookmarkStart w:id="8" w:name="External2NY"/>
      <w:bookmarkEnd w:id="8"/>
      <w:r>
        <w:rPr/>
        <w:t>Each party hereto represents and warrants to the other party hereto that, in connection with the Transaction: (i) it is acting for its own account, and it has made its own independent decisions to enter into this Transaction and as to whether this Transaction is appropriate or proper for it based upon its own judgment and upon advice from such advisers as it has deemed necessary.  It is not relying on any communication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 (ii) it is capable of assessing the merits of and understanding (on its own behalf or through independent professional advice), and understands and accepts, the terms, conditions and risks of this Transaction.  It is also capable of assuming, and assumes, the risks of this Transaction; (iii) the other party is not acting as a fiduciary for or an adviser to it in respect of this Transaction; (iv) it is an “eligible swap participant” within the meaning of Commodity Futures Trading Commission Regulation Section 35.1(b)(2).</w:t>
      </w:r>
      <w:r>
        <w:br w:type="page"/>
      </w:r>
    </w:p>
    <w:p>
      <w:pPr>
        <w:pStyle w:val="BodyText"/>
        <w:rPr/>
      </w:pPr>
      <w:r>
        <w:rPr/>
      </w:r>
    </w:p>
    <w:p>
      <w:pPr>
        <w:pStyle w:val="Normal"/>
        <w:spacing w:before="0" w:after="80"/>
        <w:jc w:val="both"/>
        <w:rPr/>
      </w:pPr>
      <w:bookmarkStart w:id="9" w:name="External2NY"/>
      <w:bookmarkEnd w:id="9"/>
      <w:r>
        <w:rPr/>
        <w:t>The terms of the particular Transaction to which this Confirmation relates are as follows:</w:t>
      </w:r>
    </w:p>
    <w:tbl>
      <w:tblPr>
        <w:tblW w:w="8839" w:type="dxa"/>
        <w:jc w:val="start"/>
        <w:tblInd w:w="0" w:type="dxa"/>
        <w:tblLayout w:type="fixed"/>
        <w:tblCellMar>
          <w:top w:w="0" w:type="dxa"/>
          <w:start w:w="108" w:type="dxa"/>
          <w:bottom w:w="0" w:type="dxa"/>
          <w:end w:w="108" w:type="dxa"/>
        </w:tblCellMar>
      </w:tblPr>
      <w:tblGrid>
        <w:gridCol w:w="4514"/>
        <w:gridCol w:w="4"/>
        <w:gridCol w:w="4"/>
        <w:gridCol w:w="4302"/>
        <w:gridCol w:w="15"/>
      </w:tblGrid>
      <w:tr>
        <w:trPr>
          <w:trHeight w:val="440" w:hRule="atLeast"/>
        </w:trPr>
        <w:tc>
          <w:tcPr>
            <w:tcW w:w="4514" w:type="dxa"/>
            <w:tcBorders>
              <w:top w:val="single" w:sz="12" w:space="0" w:color="000000"/>
              <w:bottom w:val="single" w:sz="12" w:space="0" w:color="000000"/>
            </w:tcBorders>
          </w:tcPr>
          <w:p>
            <w:pPr>
              <w:pStyle w:val="Normal"/>
              <w:spacing w:before="80" w:after="80"/>
              <w:rPr>
                <w:b/>
                <w:sz w:val="20"/>
              </w:rPr>
            </w:pPr>
            <w:r>
              <w:rPr>
                <w:b/>
                <w:sz w:val="20"/>
              </w:rPr>
              <w:t>A.</w:t>
            </w:r>
          </w:p>
        </w:tc>
        <w:tc>
          <w:tcPr>
            <w:tcW w:w="4310" w:type="dxa"/>
            <w:gridSpan w:val="3"/>
            <w:tcBorders>
              <w:top w:val="single" w:sz="12" w:space="0" w:color="000000"/>
              <w:bottom w:val="single" w:sz="12" w:space="0" w:color="000000"/>
            </w:tcBorders>
          </w:tcPr>
          <w:p>
            <w:pPr>
              <w:pStyle w:val="Normal"/>
              <w:spacing w:before="80" w:after="80"/>
              <w:jc w:val="both"/>
              <w:rPr>
                <w:b/>
                <w:sz w:val="20"/>
              </w:rPr>
            </w:pPr>
            <w:r>
              <w:rPr>
                <w:b/>
                <w:sz w:val="20"/>
              </w:rPr>
              <w:t>TRADE DETAILS</w:t>
            </w:r>
          </w:p>
        </w:tc>
      </w:tr>
      <w:tr>
        <w:trPr>
          <w:trHeight w:val="440" w:hRule="atLeast"/>
        </w:trPr>
        <w:tc>
          <w:tcPr>
            <w:tcW w:w="4514" w:type="dxa"/>
            <w:tcBorders>
              <w:bottom w:val="single" w:sz="6" w:space="0" w:color="000000"/>
            </w:tcBorders>
          </w:tcPr>
          <w:p>
            <w:pPr>
              <w:pStyle w:val="Normal"/>
              <w:spacing w:before="80" w:after="80"/>
              <w:rPr>
                <w:b/>
                <w:sz w:val="20"/>
              </w:rPr>
            </w:pPr>
            <w:r>
              <w:rPr>
                <w:b/>
                <w:sz w:val="20"/>
              </w:rPr>
              <w:t>Notional Amount:</w:t>
            </w:r>
          </w:p>
        </w:tc>
        <w:tc>
          <w:tcPr>
            <w:tcW w:w="4310" w:type="dxa"/>
            <w:gridSpan w:val="3"/>
            <w:tcBorders>
              <w:bottom w:val="single" w:sz="6" w:space="0" w:color="000000"/>
            </w:tcBorders>
          </w:tcPr>
          <w:p>
            <w:pPr>
              <w:pStyle w:val="Normal"/>
              <w:spacing w:before="80" w:after="80"/>
              <w:rPr>
                <w:sz w:val="20"/>
              </w:rPr>
            </w:pPr>
            <w:r>
              <w:rPr>
                <w:sz w:val="20"/>
              </w:rPr>
              <w:t>See attached Amortization Schedule</w:t>
            </w:r>
          </w:p>
        </w:tc>
      </w:tr>
      <w:tr>
        <w:trPr>
          <w:trHeight w:val="440" w:hRule="atLeast"/>
        </w:trPr>
        <w:tc>
          <w:tcPr>
            <w:tcW w:w="4514" w:type="dxa"/>
            <w:tcBorders>
              <w:top w:val="single" w:sz="6" w:space="0" w:color="000000"/>
              <w:bottom w:val="single" w:sz="6" w:space="0" w:color="000000"/>
            </w:tcBorders>
          </w:tcPr>
          <w:p>
            <w:pPr>
              <w:pStyle w:val="Normal"/>
              <w:spacing w:before="80" w:after="80"/>
              <w:rPr>
                <w:b/>
                <w:sz w:val="20"/>
              </w:rPr>
            </w:pPr>
            <w:r>
              <w:rPr>
                <w:b/>
                <w:sz w:val="20"/>
              </w:rPr>
              <w:t>Trade Date:</w:t>
            </w:r>
          </w:p>
        </w:tc>
        <w:tc>
          <w:tcPr>
            <w:tcW w:w="4310" w:type="dxa"/>
            <w:gridSpan w:val="3"/>
            <w:tcBorders>
              <w:top w:val="single" w:sz="6" w:space="0" w:color="000000"/>
              <w:bottom w:val="single" w:sz="6" w:space="0" w:color="000000"/>
            </w:tcBorders>
          </w:tcPr>
          <w:p>
            <w:pPr>
              <w:pStyle w:val="Normal"/>
              <w:spacing w:before="80" w:after="80"/>
              <w:jc w:val="both"/>
              <w:rPr>
                <w:sz w:val="20"/>
              </w:rPr>
            </w:pPr>
            <w:r>
              <w:rPr>
                <w:sz w:val="20"/>
              </w:rPr>
              <w:t>September 5, 2000</w:t>
            </w:r>
          </w:p>
        </w:tc>
      </w:tr>
      <w:tr>
        <w:trPr>
          <w:trHeight w:val="440" w:hRule="atLeast"/>
        </w:trPr>
        <w:tc>
          <w:tcPr>
            <w:tcW w:w="4514" w:type="dxa"/>
            <w:tcBorders>
              <w:top w:val="single" w:sz="6" w:space="0" w:color="000000"/>
              <w:bottom w:val="single" w:sz="6" w:space="0" w:color="000000"/>
            </w:tcBorders>
          </w:tcPr>
          <w:p>
            <w:pPr>
              <w:pStyle w:val="Normal"/>
              <w:spacing w:before="80" w:after="80"/>
              <w:rPr>
                <w:b/>
                <w:sz w:val="20"/>
              </w:rPr>
            </w:pPr>
            <w:r>
              <w:rPr>
                <w:b/>
                <w:sz w:val="20"/>
              </w:rPr>
              <w:t>Effective Date:</w:t>
            </w:r>
          </w:p>
        </w:tc>
        <w:tc>
          <w:tcPr>
            <w:tcW w:w="4310" w:type="dxa"/>
            <w:gridSpan w:val="3"/>
            <w:tcBorders>
              <w:top w:val="single" w:sz="6" w:space="0" w:color="000000"/>
              <w:bottom w:val="single" w:sz="6" w:space="0" w:color="000000"/>
            </w:tcBorders>
          </w:tcPr>
          <w:p>
            <w:pPr>
              <w:pStyle w:val="Normal"/>
              <w:spacing w:before="80" w:after="80"/>
              <w:jc w:val="both"/>
              <w:rPr>
                <w:sz w:val="20"/>
              </w:rPr>
            </w:pPr>
            <w:r>
              <w:rPr>
                <w:sz w:val="20"/>
              </w:rPr>
              <w:t>September 15, 2000</w:t>
            </w:r>
          </w:p>
        </w:tc>
      </w:tr>
      <w:tr>
        <w:trPr>
          <w:trHeight w:val="440" w:hRule="atLeast"/>
        </w:trPr>
        <w:tc>
          <w:tcPr>
            <w:tcW w:w="4514" w:type="dxa"/>
            <w:tcBorders>
              <w:top w:val="single" w:sz="6" w:space="0" w:color="000000"/>
            </w:tcBorders>
          </w:tcPr>
          <w:p>
            <w:pPr>
              <w:pStyle w:val="Normal"/>
              <w:spacing w:before="80" w:after="80"/>
              <w:rPr>
                <w:b/>
                <w:sz w:val="20"/>
              </w:rPr>
            </w:pPr>
            <w:r>
              <w:rPr>
                <w:b/>
                <w:sz w:val="20"/>
              </w:rPr>
              <w:t>Termination Date:</w:t>
            </w:r>
          </w:p>
        </w:tc>
        <w:tc>
          <w:tcPr>
            <w:tcW w:w="4310" w:type="dxa"/>
            <w:gridSpan w:val="3"/>
            <w:tcBorders>
              <w:top w:val="single" w:sz="6" w:space="0" w:color="000000"/>
            </w:tcBorders>
          </w:tcPr>
          <w:p>
            <w:pPr>
              <w:pStyle w:val="Normal"/>
              <w:spacing w:before="80" w:after="80"/>
              <w:jc w:val="both"/>
              <w:rPr/>
            </w:pPr>
            <w:bookmarkStart w:id="10" w:name="BusConv"/>
            <w:r>
              <w:rPr>
                <w:sz w:val="20"/>
              </w:rPr>
              <w:t>September 30, 2010; subject to adjustment in accordance with the</w:t>
            </w:r>
            <w:r>
              <w:rPr>
                <w:color w:val="FF0000"/>
                <w:sz w:val="20"/>
              </w:rPr>
              <w:t xml:space="preserve"> Modified Following</w:t>
            </w:r>
            <w:r>
              <w:rPr>
                <w:sz w:val="20"/>
              </w:rPr>
              <w:t xml:space="preserve"> Business Day Convention</w:t>
            </w:r>
            <w:bookmarkEnd w:id="10"/>
          </w:p>
        </w:tc>
      </w:tr>
      <w:tr>
        <w:trPr>
          <w:trHeight w:val="440" w:hRule="atLeast"/>
        </w:trPr>
        <w:tc>
          <w:tcPr>
            <w:tcW w:w="4522" w:type="dxa"/>
            <w:gridSpan w:val="3"/>
            <w:tcBorders>
              <w:top w:val="single" w:sz="6" w:space="0" w:color="000000"/>
              <w:bottom w:val="single" w:sz="4" w:space="0" w:color="000000"/>
            </w:tcBorders>
          </w:tcPr>
          <w:p>
            <w:pPr>
              <w:pStyle w:val="Normal"/>
              <w:spacing w:before="80" w:after="80"/>
              <w:rPr>
                <w:b/>
                <w:sz w:val="20"/>
              </w:rPr>
            </w:pPr>
            <w:bookmarkStart w:id="11" w:name="fix1"/>
            <w:bookmarkEnd w:id="11"/>
            <w:r>
              <w:rPr>
                <w:b/>
                <w:sz w:val="20"/>
              </w:rPr>
              <w:t>Fixed Amounts</w:t>
            </w:r>
            <w:bookmarkStart w:id="12" w:name="B1"/>
            <w:bookmarkEnd w:id="12"/>
            <w:r>
              <w:rPr>
                <w:b/>
                <w:sz w:val="20"/>
              </w:rPr>
              <w:t>:</w:t>
            </w:r>
          </w:p>
        </w:tc>
        <w:tc>
          <w:tcPr>
            <w:tcW w:w="4302" w:type="dxa"/>
            <w:tcBorders>
              <w:top w:val="single" w:sz="6" w:space="0" w:color="000000"/>
              <w:bottom w:val="single" w:sz="4" w:space="0" w:color="000000"/>
            </w:tcBorders>
          </w:tcPr>
          <w:p>
            <w:pPr>
              <w:pStyle w:val="Normal"/>
              <w:snapToGrid w:val="false"/>
              <w:spacing w:before="80" w:after="80"/>
              <w:jc w:val="both"/>
              <w:rPr>
                <w:b/>
                <w:sz w:val="20"/>
              </w:rPr>
            </w:pPr>
            <w:r>
              <w:rPr>
                <w:b/>
                <w:sz w:val="20"/>
              </w:rPr>
            </w:r>
          </w:p>
        </w:tc>
      </w:tr>
      <w:tr>
        <w:trPr>
          <w:trHeight w:val="440" w:hRule="atLeast"/>
        </w:trPr>
        <w:tc>
          <w:tcPr>
            <w:tcW w:w="4522" w:type="dxa"/>
            <w:gridSpan w:val="3"/>
            <w:tcBorders/>
          </w:tcPr>
          <w:p>
            <w:pPr>
              <w:pStyle w:val="Normal"/>
              <w:spacing w:before="80" w:after="80"/>
              <w:ind w:start="288" w:end="0"/>
              <w:rPr>
                <w:sz w:val="20"/>
              </w:rPr>
            </w:pPr>
            <w:r>
              <w:rPr>
                <w:sz w:val="20"/>
              </w:rPr>
              <w:t>Fixed Rate</w:t>
            </w:r>
            <w:bookmarkStart w:id="13" w:name="B2"/>
            <w:bookmarkEnd w:id="13"/>
            <w:r>
              <w:rPr>
                <w:sz w:val="20"/>
              </w:rPr>
              <w:t xml:space="preserve"> Payer:</w:t>
            </w:r>
          </w:p>
        </w:tc>
        <w:tc>
          <w:tcPr>
            <w:tcW w:w="4302" w:type="dxa"/>
            <w:tcBorders/>
          </w:tcPr>
          <w:p>
            <w:pPr>
              <w:pStyle w:val="Normal"/>
              <w:spacing w:before="80" w:after="80"/>
              <w:jc w:val="both"/>
              <w:rPr>
                <w:sz w:val="20"/>
              </w:rPr>
            </w:pPr>
            <w:r>
              <w:rPr>
                <w:sz w:val="20"/>
              </w:rPr>
              <w:t>Counterparty</w:t>
            </w:r>
          </w:p>
        </w:tc>
      </w:tr>
      <w:tr>
        <w:trPr>
          <w:trHeight w:val="440" w:hRule="atLeast"/>
        </w:trPr>
        <w:tc>
          <w:tcPr>
            <w:tcW w:w="4522" w:type="dxa"/>
            <w:gridSpan w:val="3"/>
            <w:tcBorders/>
          </w:tcPr>
          <w:p>
            <w:pPr>
              <w:pStyle w:val="Normal"/>
              <w:spacing w:before="80" w:after="80"/>
              <w:ind w:start="288" w:end="0"/>
              <w:rPr>
                <w:sz w:val="20"/>
              </w:rPr>
            </w:pPr>
            <w:r>
              <w:rPr>
                <w:sz w:val="20"/>
              </w:rPr>
              <w:t>Fixed Rate</w:t>
            </w:r>
            <w:bookmarkStart w:id="14" w:name="B4"/>
            <w:bookmarkEnd w:id="14"/>
            <w:r>
              <w:rPr>
                <w:sz w:val="20"/>
              </w:rPr>
              <w:t xml:space="preserve"> Payer Payment Date(s):</w:t>
            </w:r>
          </w:p>
        </w:tc>
        <w:tc>
          <w:tcPr>
            <w:tcW w:w="4302" w:type="dxa"/>
            <w:tcBorders/>
          </w:tcPr>
          <w:p>
            <w:pPr>
              <w:pStyle w:val="Normal"/>
              <w:spacing w:before="80" w:after="80"/>
              <w:jc w:val="both"/>
              <w:rPr/>
            </w:pPr>
            <w:r>
              <w:rPr>
                <w:sz w:val="20"/>
              </w:rPr>
              <w:t xml:space="preserve">The last day of December, March, June and September in each year from (and including) December 29, 2000 to (and including) the Termination Date subject to adjustment in accordance with the </w:t>
            </w:r>
            <w:r>
              <w:rPr>
                <w:color w:val="FF0000"/>
                <w:sz w:val="20"/>
              </w:rPr>
              <w:t>Modified Following</w:t>
            </w:r>
            <w:r>
              <w:rPr>
                <w:sz w:val="20"/>
              </w:rPr>
              <w:t xml:space="preserve"> Business Day Convention</w:t>
            </w:r>
          </w:p>
        </w:tc>
      </w:tr>
      <w:tr>
        <w:trPr>
          <w:trHeight w:val="440" w:hRule="atLeast"/>
        </w:trPr>
        <w:tc>
          <w:tcPr>
            <w:tcW w:w="4522" w:type="dxa"/>
            <w:gridSpan w:val="3"/>
            <w:tcBorders/>
          </w:tcPr>
          <w:p>
            <w:pPr>
              <w:pStyle w:val="Normal"/>
              <w:spacing w:before="80" w:after="80"/>
              <w:ind w:start="255" w:end="0"/>
              <w:rPr>
                <w:sz w:val="20"/>
              </w:rPr>
            </w:pPr>
            <w:r>
              <w:rPr>
                <w:sz w:val="20"/>
              </w:rPr>
              <w:t>Fixed Rate</w:t>
            </w:r>
            <w:bookmarkStart w:id="15" w:name="B5"/>
            <w:bookmarkEnd w:id="15"/>
            <w:r>
              <w:rPr>
                <w:sz w:val="20"/>
              </w:rPr>
              <w:t>:</w:t>
            </w:r>
          </w:p>
        </w:tc>
        <w:tc>
          <w:tcPr>
            <w:tcW w:w="4302" w:type="dxa"/>
            <w:tcBorders/>
          </w:tcPr>
          <w:p>
            <w:pPr>
              <w:pStyle w:val="Normal"/>
              <w:spacing w:before="80" w:after="80"/>
              <w:jc w:val="both"/>
              <w:rPr>
                <w:sz w:val="20"/>
              </w:rPr>
            </w:pPr>
            <w:r>
              <w:rPr>
                <w:sz w:val="20"/>
              </w:rPr>
              <w:t>6.90 % per annum</w:t>
            </w:r>
          </w:p>
        </w:tc>
      </w:tr>
      <w:tr>
        <w:trPr>
          <w:trHeight w:val="440" w:hRule="atLeast"/>
        </w:trPr>
        <w:tc>
          <w:tcPr>
            <w:tcW w:w="4522" w:type="dxa"/>
            <w:gridSpan w:val="3"/>
            <w:tcBorders/>
          </w:tcPr>
          <w:p>
            <w:pPr>
              <w:pStyle w:val="Normal"/>
              <w:tabs>
                <w:tab w:val="clear" w:pos="720"/>
                <w:tab w:val="left" w:pos="360" w:leader="none"/>
              </w:tabs>
              <w:spacing w:before="80" w:after="80"/>
              <w:ind w:start="255" w:end="0"/>
              <w:rPr>
                <w:sz w:val="20"/>
              </w:rPr>
            </w:pPr>
            <w:r>
              <w:rPr>
                <w:sz w:val="20"/>
              </w:rPr>
              <w:t>Fixed Rate</w:t>
            </w:r>
            <w:bookmarkStart w:id="16" w:name="B6"/>
            <w:bookmarkEnd w:id="16"/>
            <w:r>
              <w:rPr>
                <w:sz w:val="20"/>
              </w:rPr>
              <w:t xml:space="preserve"> Day Count Fraction:</w:t>
            </w:r>
          </w:p>
        </w:tc>
        <w:tc>
          <w:tcPr>
            <w:tcW w:w="4302" w:type="dxa"/>
            <w:tcBorders/>
          </w:tcPr>
          <w:p>
            <w:pPr>
              <w:pStyle w:val="Normal"/>
              <w:spacing w:before="80" w:after="80"/>
              <w:jc w:val="both"/>
              <w:rPr>
                <w:sz w:val="20"/>
              </w:rPr>
            </w:pPr>
            <w:r>
              <w:rPr>
                <w:sz w:val="20"/>
              </w:rPr>
              <w:t>A / 360</w:t>
            </w:r>
          </w:p>
        </w:tc>
      </w:tr>
      <w:tr>
        <w:trPr>
          <w:trHeight w:val="440" w:hRule="atLeast"/>
        </w:trPr>
        <w:tc>
          <w:tcPr>
            <w:tcW w:w="4522" w:type="dxa"/>
            <w:gridSpan w:val="3"/>
            <w:tcBorders>
              <w:top w:val="single" w:sz="6" w:space="0" w:color="000000"/>
            </w:tcBorders>
          </w:tcPr>
          <w:p>
            <w:pPr>
              <w:pStyle w:val="Normal"/>
              <w:spacing w:before="80" w:after="80"/>
              <w:rPr>
                <w:b/>
                <w:sz w:val="20"/>
              </w:rPr>
            </w:pPr>
            <w:bookmarkStart w:id="17" w:name="flt"/>
            <w:bookmarkEnd w:id="17"/>
            <w:r>
              <w:rPr>
                <w:b/>
                <w:sz w:val="20"/>
              </w:rPr>
              <w:t>Floating Amounts</w:t>
            </w:r>
            <w:bookmarkStart w:id="18" w:name="A7"/>
            <w:bookmarkEnd w:id="18"/>
            <w:r>
              <w:rPr>
                <w:b/>
                <w:sz w:val="20"/>
              </w:rPr>
              <w:t>:</w:t>
            </w:r>
          </w:p>
        </w:tc>
        <w:tc>
          <w:tcPr>
            <w:tcW w:w="4302" w:type="dxa"/>
            <w:tcBorders>
              <w:top w:val="single" w:sz="6" w:space="0" w:color="000000"/>
            </w:tcBorders>
          </w:tcPr>
          <w:p>
            <w:pPr>
              <w:pStyle w:val="Normal"/>
              <w:snapToGrid w:val="false"/>
              <w:spacing w:before="80" w:after="80"/>
              <w:jc w:val="both"/>
              <w:rPr>
                <w:b/>
                <w:sz w:val="20"/>
              </w:rPr>
            </w:pPr>
            <w:r>
              <w:rPr>
                <w:b/>
                <w:sz w:val="20"/>
              </w:rPr>
            </w:r>
          </w:p>
        </w:tc>
      </w:tr>
      <w:tr>
        <w:trPr>
          <w:trHeight w:val="440" w:hRule="atLeast"/>
        </w:trPr>
        <w:tc>
          <w:tcPr>
            <w:tcW w:w="4514" w:type="dxa"/>
            <w:tcBorders>
              <w:top w:val="single" w:sz="6" w:space="0" w:color="000000"/>
            </w:tcBorders>
          </w:tcPr>
          <w:p>
            <w:pPr>
              <w:pStyle w:val="Normal"/>
              <w:spacing w:before="80" w:after="80"/>
              <w:ind w:start="255" w:end="0"/>
              <w:rPr>
                <w:sz w:val="20"/>
              </w:rPr>
            </w:pPr>
            <w:r>
              <w:rPr>
                <w:sz w:val="20"/>
              </w:rPr>
              <w:t>Floating Rate</w:t>
            </w:r>
            <w:bookmarkStart w:id="19" w:name="A8"/>
            <w:bookmarkEnd w:id="19"/>
            <w:r>
              <w:rPr>
                <w:sz w:val="20"/>
              </w:rPr>
              <w:t xml:space="preserve"> Payer:</w:t>
            </w:r>
          </w:p>
        </w:tc>
        <w:tc>
          <w:tcPr>
            <w:tcW w:w="4310" w:type="dxa"/>
            <w:gridSpan w:val="3"/>
            <w:tcBorders>
              <w:top w:val="single" w:sz="6" w:space="0" w:color="000000"/>
            </w:tcBorders>
          </w:tcPr>
          <w:p>
            <w:pPr>
              <w:pStyle w:val="Normal"/>
              <w:spacing w:before="80" w:after="80"/>
              <w:jc w:val="both"/>
              <w:rPr>
                <w:sz w:val="20"/>
              </w:rPr>
            </w:pPr>
            <w:r>
              <w:rPr>
                <w:sz w:val="20"/>
              </w:rPr>
              <w:t>Barclays</w:t>
            </w:r>
          </w:p>
        </w:tc>
      </w:tr>
      <w:tr>
        <w:trPr>
          <w:trHeight w:val="440" w:hRule="atLeast"/>
        </w:trPr>
        <w:tc>
          <w:tcPr>
            <w:tcW w:w="4514" w:type="dxa"/>
            <w:tcBorders/>
          </w:tcPr>
          <w:p>
            <w:pPr>
              <w:pStyle w:val="Normal"/>
              <w:spacing w:before="80" w:after="80"/>
              <w:ind w:start="255" w:end="0"/>
              <w:rPr>
                <w:sz w:val="20"/>
              </w:rPr>
            </w:pPr>
            <w:r>
              <w:rPr>
                <w:sz w:val="20"/>
              </w:rPr>
              <w:t>Floating Rate</w:t>
            </w:r>
            <w:bookmarkStart w:id="20" w:name="A10"/>
            <w:bookmarkEnd w:id="20"/>
            <w:r>
              <w:rPr>
                <w:sz w:val="20"/>
              </w:rPr>
              <w:t xml:space="preserve"> Payer Payment Date(s):</w:t>
            </w:r>
          </w:p>
        </w:tc>
        <w:tc>
          <w:tcPr>
            <w:tcW w:w="4310" w:type="dxa"/>
            <w:gridSpan w:val="3"/>
            <w:tcBorders/>
          </w:tcPr>
          <w:p>
            <w:pPr>
              <w:pStyle w:val="Normal"/>
              <w:spacing w:before="80" w:after="80"/>
              <w:jc w:val="both"/>
              <w:rPr/>
            </w:pPr>
            <w:r>
              <w:rPr>
                <w:sz w:val="20"/>
              </w:rPr>
              <w:t xml:space="preserve">The last day of December, March, June and September in each year from (and including) December 29, 2000 to (and including) the Termination Date subject to adjustment in accordance with the </w:t>
            </w:r>
            <w:r>
              <w:rPr>
                <w:color w:val="FF0000"/>
                <w:sz w:val="20"/>
              </w:rPr>
              <w:t>Modified Following</w:t>
            </w:r>
            <w:r>
              <w:rPr>
                <w:sz w:val="20"/>
              </w:rPr>
              <w:t xml:space="preserve"> Business Day Convention</w:t>
            </w:r>
          </w:p>
        </w:tc>
      </w:tr>
      <w:tr>
        <w:trPr>
          <w:trHeight w:val="440" w:hRule="atLeast"/>
        </w:trPr>
        <w:tc>
          <w:tcPr>
            <w:tcW w:w="4514" w:type="dxa"/>
            <w:tcBorders/>
          </w:tcPr>
          <w:p>
            <w:pPr>
              <w:pStyle w:val="Normal"/>
              <w:spacing w:before="80" w:after="80"/>
              <w:ind w:start="255" w:end="0"/>
              <w:rPr>
                <w:sz w:val="20"/>
              </w:rPr>
            </w:pPr>
            <w:r>
              <w:rPr>
                <w:sz w:val="20"/>
              </w:rPr>
              <w:t>Floating Rate for Initial Calculation Period:</w:t>
            </w:r>
          </w:p>
        </w:tc>
        <w:tc>
          <w:tcPr>
            <w:tcW w:w="4310" w:type="dxa"/>
            <w:gridSpan w:val="3"/>
            <w:tcBorders/>
          </w:tcPr>
          <w:p>
            <w:pPr>
              <w:pStyle w:val="Normal"/>
              <w:spacing w:before="80" w:after="80"/>
              <w:jc w:val="both"/>
              <w:rPr>
                <w:sz w:val="20"/>
              </w:rPr>
            </w:pPr>
            <w:r>
              <w:rPr>
                <w:sz w:val="20"/>
              </w:rPr>
              <w:t>To be Determined September 13, 2000 with reference to the 3 and 4 month interpolated rate</w:t>
            </w:r>
          </w:p>
        </w:tc>
      </w:tr>
      <w:tr>
        <w:trPr>
          <w:trHeight w:val="440" w:hRule="atLeast"/>
        </w:trPr>
        <w:tc>
          <w:tcPr>
            <w:tcW w:w="4514" w:type="dxa"/>
            <w:tcBorders/>
          </w:tcPr>
          <w:p>
            <w:pPr>
              <w:pStyle w:val="Normal"/>
              <w:spacing w:before="80" w:after="80"/>
              <w:ind w:start="255" w:end="0"/>
              <w:rPr>
                <w:sz w:val="20"/>
              </w:rPr>
            </w:pPr>
            <w:r>
              <w:rPr>
                <w:sz w:val="20"/>
              </w:rPr>
              <w:t>Floating Rate</w:t>
            </w:r>
            <w:bookmarkStart w:id="21" w:name="A11"/>
            <w:bookmarkEnd w:id="21"/>
            <w:r>
              <w:rPr>
                <w:sz w:val="20"/>
              </w:rPr>
              <w:t xml:space="preserve"> Option:</w:t>
            </w:r>
          </w:p>
        </w:tc>
        <w:tc>
          <w:tcPr>
            <w:tcW w:w="4310" w:type="dxa"/>
            <w:gridSpan w:val="3"/>
            <w:tcBorders/>
          </w:tcPr>
          <w:p>
            <w:pPr>
              <w:pStyle w:val="Normal"/>
              <w:spacing w:before="80" w:after="80"/>
              <w:jc w:val="both"/>
              <w:rPr>
                <w:color w:val="FF0000"/>
                <w:sz w:val="20"/>
              </w:rPr>
            </w:pPr>
            <w:r>
              <w:rPr>
                <w:color w:val="FF0000"/>
                <w:sz w:val="20"/>
              </w:rPr>
              <w:t>USD-LIBOR-BBA</w:t>
            </w:r>
          </w:p>
        </w:tc>
      </w:tr>
      <w:tr>
        <w:trPr>
          <w:trHeight w:val="440" w:hRule="atLeast"/>
        </w:trPr>
        <w:tc>
          <w:tcPr>
            <w:tcW w:w="4514" w:type="dxa"/>
            <w:tcBorders/>
          </w:tcPr>
          <w:p>
            <w:pPr>
              <w:pStyle w:val="Normal"/>
              <w:spacing w:before="80" w:after="80"/>
              <w:ind w:start="255" w:end="0"/>
              <w:rPr>
                <w:sz w:val="20"/>
              </w:rPr>
            </w:pPr>
            <w:r>
              <w:rPr>
                <w:sz w:val="20"/>
              </w:rPr>
              <w:t>Spread</w:t>
            </w:r>
            <w:bookmarkStart w:id="22" w:name="A14"/>
            <w:bookmarkEnd w:id="22"/>
            <w:r>
              <w:rPr>
                <w:sz w:val="20"/>
              </w:rPr>
              <w:t>:</w:t>
            </w:r>
          </w:p>
        </w:tc>
        <w:tc>
          <w:tcPr>
            <w:tcW w:w="4310" w:type="dxa"/>
            <w:gridSpan w:val="3"/>
            <w:tcBorders/>
          </w:tcPr>
          <w:p>
            <w:pPr>
              <w:pStyle w:val="Normal"/>
              <w:spacing w:before="80" w:after="80"/>
              <w:jc w:val="both"/>
              <w:rPr>
                <w:color w:val="FF0000"/>
                <w:sz w:val="20"/>
              </w:rPr>
            </w:pPr>
            <w:r>
              <w:rPr>
                <w:color w:val="FF0000"/>
                <w:sz w:val="20"/>
              </w:rPr>
              <w:t>None</w:t>
            </w:r>
          </w:p>
        </w:tc>
      </w:tr>
      <w:tr>
        <w:trPr>
          <w:trHeight w:val="440" w:hRule="atLeast"/>
        </w:trPr>
        <w:tc>
          <w:tcPr>
            <w:tcW w:w="4514" w:type="dxa"/>
            <w:tcBorders/>
          </w:tcPr>
          <w:p>
            <w:pPr>
              <w:pStyle w:val="Normal"/>
              <w:spacing w:before="80" w:after="80"/>
              <w:ind w:start="255" w:end="0"/>
              <w:rPr>
                <w:sz w:val="20"/>
              </w:rPr>
            </w:pPr>
            <w:r>
              <w:rPr>
                <w:sz w:val="20"/>
              </w:rPr>
              <w:t>Floating Rate</w:t>
            </w:r>
            <w:bookmarkStart w:id="23" w:name="A12"/>
            <w:bookmarkEnd w:id="23"/>
            <w:r>
              <w:rPr>
                <w:sz w:val="20"/>
              </w:rPr>
              <w:t xml:space="preserve"> Day Count Fraction:</w:t>
            </w:r>
          </w:p>
        </w:tc>
        <w:tc>
          <w:tcPr>
            <w:tcW w:w="4310" w:type="dxa"/>
            <w:gridSpan w:val="3"/>
            <w:tcBorders/>
          </w:tcPr>
          <w:p>
            <w:pPr>
              <w:pStyle w:val="Normal"/>
              <w:spacing w:before="80" w:after="80"/>
              <w:jc w:val="both"/>
              <w:rPr>
                <w:sz w:val="20"/>
              </w:rPr>
            </w:pPr>
            <w:r>
              <w:rPr>
                <w:sz w:val="20"/>
              </w:rPr>
              <w:t xml:space="preserve">Actual / 360 </w:t>
            </w:r>
          </w:p>
        </w:tc>
      </w:tr>
      <w:tr>
        <w:trPr>
          <w:trHeight w:val="440" w:hRule="atLeast"/>
        </w:trPr>
        <w:tc>
          <w:tcPr>
            <w:tcW w:w="4514" w:type="dxa"/>
            <w:tcBorders/>
          </w:tcPr>
          <w:p>
            <w:pPr>
              <w:pStyle w:val="Normal"/>
              <w:spacing w:before="80" w:after="80"/>
              <w:ind w:start="255" w:end="0"/>
              <w:rPr>
                <w:sz w:val="20"/>
              </w:rPr>
            </w:pPr>
            <w:r>
              <w:rPr>
                <w:sz w:val="20"/>
              </w:rPr>
              <w:t>Designated Maturity</w:t>
            </w:r>
            <w:bookmarkStart w:id="24" w:name="A13"/>
            <w:bookmarkEnd w:id="24"/>
            <w:r>
              <w:rPr>
                <w:sz w:val="20"/>
              </w:rPr>
              <w:t>:</w:t>
            </w:r>
          </w:p>
        </w:tc>
        <w:tc>
          <w:tcPr>
            <w:tcW w:w="4310" w:type="dxa"/>
            <w:gridSpan w:val="3"/>
            <w:tcBorders/>
          </w:tcPr>
          <w:p>
            <w:pPr>
              <w:pStyle w:val="Normal"/>
              <w:tabs>
                <w:tab w:val="clear" w:pos="720"/>
                <w:tab w:val="left" w:pos="360" w:leader="none"/>
              </w:tabs>
              <w:spacing w:before="80" w:after="80"/>
              <w:jc w:val="both"/>
              <w:rPr>
                <w:color w:val="FF0000"/>
                <w:sz w:val="20"/>
              </w:rPr>
            </w:pPr>
            <w:r>
              <w:rPr>
                <w:color w:val="FF0000"/>
                <w:sz w:val="20"/>
              </w:rPr>
              <w:t>3 Months</w:t>
            </w:r>
          </w:p>
        </w:tc>
      </w:tr>
      <w:tr>
        <w:trPr>
          <w:trHeight w:val="440" w:hRule="atLeast"/>
        </w:trPr>
        <w:tc>
          <w:tcPr>
            <w:tcW w:w="4514" w:type="dxa"/>
            <w:tcBorders/>
          </w:tcPr>
          <w:p>
            <w:pPr>
              <w:pStyle w:val="Normal"/>
              <w:spacing w:before="80" w:after="80"/>
              <w:ind w:start="255" w:end="0"/>
              <w:rPr>
                <w:sz w:val="20"/>
              </w:rPr>
            </w:pPr>
            <w:r>
              <w:rPr>
                <w:sz w:val="20"/>
              </w:rPr>
              <w:t>Reset Dates</w:t>
            </w:r>
            <w:bookmarkStart w:id="25" w:name="A15"/>
            <w:bookmarkEnd w:id="25"/>
            <w:r>
              <w:rPr>
                <w:b/>
                <w:sz w:val="20"/>
              </w:rPr>
              <w:t>:</w:t>
            </w:r>
          </w:p>
        </w:tc>
        <w:tc>
          <w:tcPr>
            <w:tcW w:w="4310" w:type="dxa"/>
            <w:gridSpan w:val="3"/>
            <w:tcBorders/>
          </w:tcPr>
          <w:p>
            <w:pPr>
              <w:pStyle w:val="Normal"/>
              <w:tabs>
                <w:tab w:val="clear" w:pos="720"/>
                <w:tab w:val="left" w:pos="360" w:leader="none"/>
              </w:tabs>
              <w:spacing w:before="80" w:after="80"/>
              <w:jc w:val="both"/>
              <w:rPr>
                <w:sz w:val="20"/>
              </w:rPr>
            </w:pPr>
            <w:r>
              <w:rPr>
                <w:sz w:val="20"/>
              </w:rPr>
              <w:t>The first day in each Calculation Period</w:t>
            </w:r>
          </w:p>
        </w:tc>
      </w:tr>
      <w:tr>
        <w:trPr>
          <w:trHeight w:val="440" w:hRule="atLeast"/>
        </w:trPr>
        <w:tc>
          <w:tcPr>
            <w:tcW w:w="4514" w:type="dxa"/>
            <w:tcBorders/>
          </w:tcPr>
          <w:p>
            <w:pPr>
              <w:pStyle w:val="Normal"/>
              <w:spacing w:before="80" w:after="80"/>
              <w:ind w:start="255" w:end="0"/>
              <w:rPr>
                <w:sz w:val="20"/>
              </w:rPr>
            </w:pPr>
            <w:r>
              <w:rPr>
                <w:sz w:val="20"/>
              </w:rPr>
              <w:t>Compounding</w:t>
            </w:r>
            <w:bookmarkStart w:id="26" w:name="A16"/>
            <w:bookmarkEnd w:id="26"/>
            <w:r>
              <w:rPr>
                <w:sz w:val="20"/>
              </w:rPr>
              <w:t>:</w:t>
            </w:r>
          </w:p>
        </w:tc>
        <w:tc>
          <w:tcPr>
            <w:tcW w:w="4310" w:type="dxa"/>
            <w:gridSpan w:val="3"/>
            <w:tcBorders/>
          </w:tcPr>
          <w:p>
            <w:pPr>
              <w:pStyle w:val="Normal"/>
              <w:tabs>
                <w:tab w:val="clear" w:pos="720"/>
                <w:tab w:val="left" w:pos="360" w:leader="none"/>
              </w:tabs>
              <w:spacing w:before="80" w:after="80"/>
              <w:jc w:val="both"/>
              <w:rPr>
                <w:color w:val="FF0000"/>
                <w:sz w:val="20"/>
              </w:rPr>
            </w:pPr>
            <w:r>
              <w:rPr>
                <w:color w:val="FF0000"/>
                <w:sz w:val="20"/>
              </w:rPr>
              <w:t>None</w:t>
            </w:r>
          </w:p>
        </w:tc>
      </w:tr>
      <w:tr>
        <w:trPr>
          <w:trHeight w:val="440" w:hRule="atLeast"/>
        </w:trPr>
        <w:tc>
          <w:tcPr>
            <w:tcW w:w="4518" w:type="dxa"/>
            <w:gridSpan w:val="2"/>
            <w:tcBorders>
              <w:top w:val="single" w:sz="6" w:space="0" w:color="000000"/>
            </w:tcBorders>
          </w:tcPr>
          <w:p>
            <w:pPr>
              <w:pStyle w:val="Normal"/>
              <w:tabs>
                <w:tab w:val="clear" w:pos="720"/>
                <w:tab w:val="left" w:pos="360" w:leader="none"/>
              </w:tabs>
              <w:spacing w:before="80" w:after="80"/>
              <w:rPr>
                <w:b/>
                <w:sz w:val="20"/>
              </w:rPr>
            </w:pPr>
            <w:r>
              <w:rPr>
                <w:b/>
                <w:sz w:val="20"/>
              </w:rPr>
              <w:t>Business Days</w:t>
            </w:r>
            <w:bookmarkStart w:id="27" w:name="BusText"/>
            <w:bookmarkEnd w:id="27"/>
            <w:r>
              <w:rPr>
                <w:b/>
                <w:sz w:val="20"/>
              </w:rPr>
              <w:t>:</w:t>
            </w:r>
          </w:p>
        </w:tc>
        <w:tc>
          <w:tcPr>
            <w:tcW w:w="4321" w:type="dxa"/>
            <w:gridSpan w:val="2"/>
            <w:tcBorders>
              <w:top w:val="single" w:sz="6" w:space="0" w:color="000000"/>
            </w:tcBorders>
          </w:tcPr>
          <w:p>
            <w:pPr>
              <w:pStyle w:val="Normal"/>
              <w:tabs>
                <w:tab w:val="clear" w:pos="720"/>
                <w:tab w:val="left" w:pos="360" w:leader="none"/>
              </w:tabs>
              <w:spacing w:before="80" w:after="80"/>
              <w:ind w:end="33"/>
              <w:jc w:val="both"/>
              <w:rPr>
                <w:color w:val="FF0000"/>
                <w:sz w:val="20"/>
              </w:rPr>
            </w:pPr>
            <w:r>
              <w:rPr>
                <w:color w:val="FF0000"/>
                <w:sz w:val="20"/>
              </w:rPr>
              <w:t>London and New York</w:t>
            </w:r>
          </w:p>
        </w:tc>
      </w:tr>
      <w:tr>
        <w:trPr>
          <w:trHeight w:val="440" w:hRule="atLeast"/>
        </w:trPr>
        <w:tc>
          <w:tcPr>
            <w:tcW w:w="4518" w:type="dxa"/>
            <w:gridSpan w:val="2"/>
            <w:tcBorders>
              <w:top w:val="single" w:sz="6" w:space="0" w:color="000000"/>
              <w:bottom w:val="single" w:sz="6" w:space="0" w:color="000000"/>
            </w:tcBorders>
          </w:tcPr>
          <w:p>
            <w:pPr>
              <w:pStyle w:val="Normal"/>
              <w:spacing w:before="80" w:after="80"/>
              <w:rPr>
                <w:b/>
                <w:sz w:val="20"/>
              </w:rPr>
            </w:pPr>
            <w:r>
              <w:rPr>
                <w:b/>
                <w:sz w:val="20"/>
              </w:rPr>
              <w:t>Calculation Agent:</w:t>
            </w:r>
          </w:p>
        </w:tc>
        <w:tc>
          <w:tcPr>
            <w:tcW w:w="4321" w:type="dxa"/>
            <w:gridSpan w:val="2"/>
            <w:tcBorders>
              <w:top w:val="single" w:sz="6" w:space="0" w:color="000000"/>
              <w:bottom w:val="single" w:sz="6" w:space="0" w:color="000000"/>
            </w:tcBorders>
          </w:tcPr>
          <w:p>
            <w:pPr>
              <w:pStyle w:val="Normal"/>
              <w:spacing w:before="80" w:after="80"/>
              <w:jc w:val="both"/>
              <w:rPr>
                <w:color w:val="FF0000"/>
                <w:sz w:val="20"/>
              </w:rPr>
            </w:pPr>
            <w:r>
              <w:rPr>
                <w:color w:val="FF0000"/>
                <w:sz w:val="20"/>
              </w:rPr>
              <w:t>Barclays Bank PLC</w:t>
            </w:r>
          </w:p>
        </w:tc>
      </w:tr>
      <w:tr>
        <w:trPr>
          <w:trHeight w:val="440" w:hRule="atLeast"/>
        </w:trPr>
        <w:tc>
          <w:tcPr>
            <w:tcW w:w="4514" w:type="dxa"/>
            <w:tcBorders>
              <w:bottom w:val="single" w:sz="12" w:space="0" w:color="000000"/>
            </w:tcBorders>
          </w:tcPr>
          <w:p>
            <w:pPr>
              <w:pStyle w:val="Normal"/>
              <w:spacing w:before="80" w:after="80"/>
              <w:rPr>
                <w:b/>
                <w:sz w:val="20"/>
              </w:rPr>
            </w:pPr>
            <w:r>
              <w:rPr>
                <w:b/>
                <w:sz w:val="20"/>
              </w:rPr>
              <w:t>Governing Law:</w:t>
            </w:r>
          </w:p>
        </w:tc>
        <w:tc>
          <w:tcPr>
            <w:tcW w:w="4310" w:type="dxa"/>
            <w:gridSpan w:val="3"/>
            <w:tcBorders>
              <w:bottom w:val="single" w:sz="12" w:space="0" w:color="000000"/>
            </w:tcBorders>
          </w:tcPr>
          <w:p>
            <w:pPr>
              <w:pStyle w:val="Normal"/>
              <w:spacing w:before="80" w:after="80"/>
              <w:rPr>
                <w:color w:val="FF0000"/>
                <w:sz w:val="20"/>
              </w:rPr>
            </w:pPr>
            <w:r>
              <w:rPr>
                <w:color w:val="FF0000"/>
                <w:sz w:val="20"/>
              </w:rPr>
              <w:t>The Transaction and this Confirmation will be governed by and construed in accordance with The laws of the state of New York without reference to choice of Law doctrine</w:t>
            </w:r>
          </w:p>
        </w:tc>
      </w:tr>
      <w:tr>
        <w:trPr>
          <w:trHeight w:val="440" w:hRule="atLeast"/>
        </w:trPr>
        <w:tc>
          <w:tcPr>
            <w:tcW w:w="4514" w:type="dxa"/>
            <w:tcBorders>
              <w:top w:val="single" w:sz="12" w:space="0" w:color="000000"/>
              <w:bottom w:val="single" w:sz="12" w:space="0" w:color="000000"/>
            </w:tcBorders>
          </w:tcPr>
          <w:p>
            <w:pPr>
              <w:pStyle w:val="Head"/>
              <w:spacing w:before="80" w:after="80"/>
              <w:ind w:end="0"/>
              <w:rPr>
                <w:sz w:val="20"/>
              </w:rPr>
            </w:pPr>
            <w:r>
              <w:rPr>
                <w:sz w:val="20"/>
              </w:rPr>
              <w:t>B.</w:t>
            </w:r>
          </w:p>
        </w:tc>
        <w:tc>
          <w:tcPr>
            <w:tcW w:w="4310" w:type="dxa"/>
            <w:gridSpan w:val="3"/>
            <w:tcBorders>
              <w:top w:val="single" w:sz="12" w:space="0" w:color="000000"/>
              <w:bottom w:val="single" w:sz="12" w:space="0" w:color="000000"/>
            </w:tcBorders>
          </w:tcPr>
          <w:p>
            <w:pPr>
              <w:pStyle w:val="Head"/>
              <w:spacing w:before="80" w:after="80"/>
              <w:ind w:end="0"/>
              <w:jc w:val="both"/>
              <w:rPr>
                <w:sz w:val="20"/>
              </w:rPr>
            </w:pPr>
            <w:r>
              <w:rPr>
                <w:sz w:val="20"/>
              </w:rPr>
              <w:t>ACCOUNT DETAILS</w:t>
            </w:r>
          </w:p>
        </w:tc>
      </w:tr>
      <w:tr>
        <w:trPr>
          <w:trHeight w:val="440" w:hRule="atLeast"/>
        </w:trPr>
        <w:tc>
          <w:tcPr>
            <w:tcW w:w="4514" w:type="dxa"/>
            <w:tcBorders>
              <w:bottom w:val="single" w:sz="6" w:space="0" w:color="000000"/>
            </w:tcBorders>
          </w:tcPr>
          <w:p>
            <w:pPr>
              <w:pStyle w:val="Normal"/>
              <w:rPr>
                <w:sz w:val="20"/>
              </w:rPr>
            </w:pPr>
            <w:r>
              <w:rPr>
                <w:sz w:val="20"/>
              </w:rPr>
              <w:t>Payments to Barclays:</w:t>
            </w:r>
          </w:p>
        </w:tc>
        <w:tc>
          <w:tcPr>
            <w:tcW w:w="4310" w:type="dxa"/>
            <w:gridSpan w:val="3"/>
            <w:tcBorders>
              <w:bottom w:val="single" w:sz="6" w:space="0" w:color="000000"/>
            </w:tcBorders>
          </w:tcPr>
          <w:p>
            <w:pPr>
              <w:pStyle w:val="Normal"/>
              <w:rPr>
                <w:color w:val="FF0000"/>
                <w:sz w:val="20"/>
              </w:rPr>
            </w:pPr>
            <w:r>
              <w:rPr>
                <w:color w:val="FF0000"/>
                <w:sz w:val="20"/>
              </w:rPr>
              <w:t>For Payments in USD:</w:t>
            </w:r>
          </w:p>
          <w:p>
            <w:pPr>
              <w:pStyle w:val="Normal"/>
              <w:rPr>
                <w:color w:val="FF0000"/>
                <w:sz w:val="20"/>
              </w:rPr>
            </w:pPr>
            <w:r>
              <w:rPr>
                <w:color w:val="FF0000"/>
                <w:sz w:val="20"/>
              </w:rPr>
            </w:r>
          </w:p>
          <w:p>
            <w:pPr>
              <w:pStyle w:val="Normal"/>
              <w:rPr>
                <w:color w:val="FF0000"/>
                <w:sz w:val="20"/>
              </w:rPr>
            </w:pPr>
            <w:r>
              <w:rPr>
                <w:color w:val="FF0000"/>
                <w:sz w:val="20"/>
              </w:rPr>
            </w:r>
          </w:p>
          <w:p>
            <w:pPr>
              <w:pStyle w:val="Normal"/>
              <w:rPr>
                <w:color w:val="FF0000"/>
                <w:sz w:val="20"/>
              </w:rPr>
            </w:pPr>
            <w:r>
              <w:rPr>
                <w:color w:val="FF0000"/>
                <w:sz w:val="20"/>
              </w:rPr>
            </w:r>
          </w:p>
          <w:p>
            <w:pPr>
              <w:pStyle w:val="Normal"/>
              <w:rPr>
                <w:color w:val="FF0000"/>
                <w:sz w:val="20"/>
              </w:rPr>
            </w:pPr>
            <w:r>
              <w:rPr>
                <w:color w:val="FF0000"/>
                <w:sz w:val="20"/>
              </w:rPr>
            </w:r>
          </w:p>
        </w:tc>
      </w:tr>
      <w:tr>
        <w:trPr>
          <w:trHeight w:val="440" w:hRule="atLeast"/>
        </w:trPr>
        <w:tc>
          <w:tcPr>
            <w:tcW w:w="4514" w:type="dxa"/>
            <w:tcBorders/>
          </w:tcPr>
          <w:p>
            <w:pPr>
              <w:pStyle w:val="Normal"/>
              <w:rPr>
                <w:sz w:val="20"/>
              </w:rPr>
            </w:pPr>
            <w:r>
              <w:rPr>
                <w:sz w:val="20"/>
              </w:rPr>
              <w:t>Payments to Counterparty:</w:t>
            </w:r>
          </w:p>
        </w:tc>
        <w:tc>
          <w:tcPr>
            <w:tcW w:w="4310" w:type="dxa"/>
            <w:gridSpan w:val="3"/>
            <w:tcBorders/>
          </w:tcPr>
          <w:p>
            <w:pPr>
              <w:pStyle w:val="Normal"/>
              <w:rPr>
                <w:color w:val="FF0000"/>
                <w:sz w:val="20"/>
              </w:rPr>
            </w:pPr>
            <w:r>
              <w:rPr>
                <w:color w:val="FF0000"/>
                <w:sz w:val="20"/>
              </w:rPr>
              <w:t>For Payments in USD:</w:t>
            </w:r>
          </w:p>
          <w:p>
            <w:pPr>
              <w:pStyle w:val="Normal"/>
              <w:rPr>
                <w:color w:val="FF0000"/>
                <w:sz w:val="20"/>
              </w:rPr>
            </w:pPr>
            <w:r>
              <w:rPr>
                <w:color w:val="FF0000"/>
                <w:sz w:val="20"/>
              </w:rPr>
            </w:r>
          </w:p>
          <w:p>
            <w:pPr>
              <w:pStyle w:val="Normal"/>
              <w:rPr>
                <w:color w:val="FF0000"/>
                <w:sz w:val="20"/>
              </w:rPr>
            </w:pPr>
            <w:r>
              <w:rPr>
                <w:color w:val="FF0000"/>
                <w:sz w:val="20"/>
              </w:rPr>
            </w:r>
          </w:p>
          <w:p>
            <w:pPr>
              <w:pStyle w:val="Normal"/>
              <w:rPr>
                <w:color w:val="FF0000"/>
                <w:sz w:val="20"/>
              </w:rPr>
            </w:pPr>
            <w:r>
              <w:rPr>
                <w:color w:val="FF0000"/>
                <w:sz w:val="20"/>
              </w:rPr>
            </w:r>
          </w:p>
          <w:p>
            <w:pPr>
              <w:pStyle w:val="Normal"/>
              <w:rPr>
                <w:color w:val="FF0000"/>
                <w:sz w:val="20"/>
              </w:rPr>
            </w:pPr>
            <w:r>
              <w:rPr>
                <w:color w:val="FF0000"/>
                <w:sz w:val="20"/>
              </w:rPr>
            </w:r>
          </w:p>
        </w:tc>
      </w:tr>
      <w:tr>
        <w:trPr>
          <w:trHeight w:val="440" w:hRule="atLeast"/>
        </w:trPr>
        <w:tc>
          <w:tcPr>
            <w:tcW w:w="4514" w:type="dxa"/>
            <w:tcBorders>
              <w:top w:val="single" w:sz="12" w:space="0" w:color="000000"/>
            </w:tcBorders>
          </w:tcPr>
          <w:p>
            <w:pPr>
              <w:pStyle w:val="Head"/>
              <w:spacing w:before="80" w:after="80"/>
              <w:ind w:end="0"/>
              <w:rPr>
                <w:sz w:val="20"/>
              </w:rPr>
            </w:pPr>
            <w:r>
              <w:rPr>
                <w:sz w:val="20"/>
              </w:rPr>
              <w:t>C.</w:t>
            </w:r>
          </w:p>
        </w:tc>
        <w:tc>
          <w:tcPr>
            <w:tcW w:w="4310" w:type="dxa"/>
            <w:gridSpan w:val="3"/>
            <w:tcBorders>
              <w:top w:val="single" w:sz="12" w:space="0" w:color="000000"/>
            </w:tcBorders>
          </w:tcPr>
          <w:p>
            <w:pPr>
              <w:pStyle w:val="Head"/>
              <w:spacing w:before="80" w:after="80"/>
              <w:ind w:end="0"/>
              <w:jc w:val="both"/>
              <w:rPr>
                <w:sz w:val="20"/>
              </w:rPr>
            </w:pPr>
            <w:r>
              <w:rPr>
                <w:sz w:val="20"/>
              </w:rPr>
              <w:t>OFFICES</w:t>
            </w:r>
          </w:p>
        </w:tc>
      </w:tr>
      <w:tr>
        <w:trPr>
          <w:trHeight w:val="440" w:hRule="atLeast"/>
        </w:trPr>
        <w:tc>
          <w:tcPr>
            <w:tcW w:w="4514" w:type="dxa"/>
            <w:tcBorders>
              <w:top w:val="single" w:sz="12" w:space="0" w:color="000000"/>
            </w:tcBorders>
          </w:tcPr>
          <w:p>
            <w:pPr>
              <w:pStyle w:val="Normal"/>
              <w:spacing w:before="80" w:after="80"/>
              <w:rPr>
                <w:sz w:val="20"/>
              </w:rPr>
            </w:pPr>
            <w:r>
              <w:rPr>
                <w:sz w:val="20"/>
              </w:rPr>
              <w:t>Barclays:</w:t>
            </w:r>
          </w:p>
        </w:tc>
        <w:tc>
          <w:tcPr>
            <w:tcW w:w="4310" w:type="dxa"/>
            <w:gridSpan w:val="3"/>
            <w:tcBorders>
              <w:top w:val="single" w:sz="12" w:space="0" w:color="000000"/>
            </w:tcBorders>
          </w:tcPr>
          <w:p>
            <w:pPr>
              <w:pStyle w:val="Normal"/>
              <w:spacing w:before="80" w:after="0"/>
              <w:jc w:val="both"/>
              <w:rPr>
                <w:sz w:val="20"/>
                <w:u w:val="single"/>
              </w:rPr>
            </w:pPr>
            <w:r>
              <w:rPr>
                <w:sz w:val="20"/>
                <w:u w:val="single"/>
              </w:rPr>
              <w:t>Address for Notices:</w:t>
            </w:r>
          </w:p>
          <w:p>
            <w:pPr>
              <w:pStyle w:val="Normal"/>
              <w:jc w:val="both"/>
              <w:rPr>
                <w:color w:val="FF0000"/>
                <w:sz w:val="20"/>
              </w:rPr>
            </w:pPr>
            <w:r>
              <w:rPr>
                <w:color w:val="FF0000"/>
                <w:sz w:val="20"/>
              </w:rPr>
              <w:t>5 THE NORTH COLONNADE</w:t>
            </w:r>
          </w:p>
          <w:p>
            <w:pPr>
              <w:pStyle w:val="Normal"/>
              <w:jc w:val="both"/>
              <w:rPr>
                <w:color w:val="FF0000"/>
                <w:sz w:val="20"/>
              </w:rPr>
            </w:pPr>
            <w:r>
              <w:rPr>
                <w:color w:val="FF0000"/>
                <w:sz w:val="20"/>
              </w:rPr>
              <w:t>CANARY WHARF</w:t>
            </w:r>
          </w:p>
          <w:p>
            <w:pPr>
              <w:pStyle w:val="Normal"/>
              <w:jc w:val="both"/>
              <w:rPr>
                <w:color w:val="FF0000"/>
                <w:sz w:val="20"/>
                <w:lang w:val="fr-FR"/>
              </w:rPr>
            </w:pPr>
            <w:r>
              <w:rPr>
                <w:color w:val="FF0000"/>
                <w:sz w:val="20"/>
                <w:lang w:val="fr-FR"/>
              </w:rPr>
              <w:t>LONDON E14 4PU</w:t>
            </w:r>
          </w:p>
          <w:p>
            <w:pPr>
              <w:pStyle w:val="Normal"/>
              <w:jc w:val="both"/>
              <w:rPr>
                <w:color w:val="FF0000"/>
                <w:sz w:val="20"/>
                <w:lang w:val="fr-FR"/>
              </w:rPr>
            </w:pPr>
            <w:r>
              <w:rPr>
                <w:color w:val="FF0000"/>
                <w:sz w:val="20"/>
                <w:lang w:val="fr-FR"/>
              </w:rPr>
              <w:t>Tel:</w:t>
              <w:tab/>
              <w:t>44(20) 77736603</w:t>
            </w:r>
          </w:p>
          <w:p>
            <w:pPr>
              <w:pStyle w:val="Normal"/>
              <w:jc w:val="both"/>
              <w:rPr>
                <w:color w:val="FF0000"/>
                <w:sz w:val="20"/>
              </w:rPr>
            </w:pPr>
            <w:r>
              <w:rPr>
                <w:color w:val="FF0000"/>
                <w:sz w:val="20"/>
              </w:rPr>
              <w:t>Fax:</w:t>
              <w:tab/>
              <w:t>44(20) 77736810</w:t>
            </w:r>
          </w:p>
          <w:p>
            <w:pPr>
              <w:pStyle w:val="Normal"/>
              <w:jc w:val="both"/>
              <w:rPr>
                <w:color w:val="FF0000"/>
                <w:sz w:val="20"/>
              </w:rPr>
            </w:pPr>
            <w:r>
              <w:rPr>
                <w:color w:val="FF0000"/>
                <w:sz w:val="20"/>
              </w:rPr>
            </w:r>
          </w:p>
        </w:tc>
      </w:tr>
      <w:tr>
        <w:trPr>
          <w:trHeight w:val="440" w:hRule="atLeast"/>
        </w:trPr>
        <w:tc>
          <w:tcPr>
            <w:tcW w:w="4514" w:type="dxa"/>
            <w:tcBorders>
              <w:top w:val="single" w:sz="6" w:space="0" w:color="000000"/>
              <w:bottom w:val="single" w:sz="6" w:space="0" w:color="000000"/>
            </w:tcBorders>
          </w:tcPr>
          <w:p>
            <w:pPr>
              <w:pStyle w:val="Normal"/>
              <w:spacing w:before="80" w:after="80"/>
              <w:rPr>
                <w:sz w:val="20"/>
              </w:rPr>
            </w:pPr>
            <w:r>
              <w:rPr>
                <w:sz w:val="20"/>
              </w:rPr>
              <w:t>Counterparty:</w:t>
            </w:r>
          </w:p>
        </w:tc>
        <w:tc>
          <w:tcPr>
            <w:tcW w:w="4310" w:type="dxa"/>
            <w:gridSpan w:val="3"/>
            <w:tcBorders>
              <w:top w:val="single" w:sz="6" w:space="0" w:color="000000"/>
              <w:bottom w:val="single" w:sz="6" w:space="0" w:color="000000"/>
            </w:tcBorders>
          </w:tcPr>
          <w:p>
            <w:pPr>
              <w:pStyle w:val="Normal"/>
              <w:spacing w:before="80" w:after="0"/>
              <w:jc w:val="both"/>
              <w:rPr/>
            </w:pPr>
            <w:r>
              <w:rPr>
                <w:sz w:val="20"/>
                <w:u w:val="single"/>
              </w:rPr>
              <w:t>Address for Notices</w:t>
            </w:r>
            <w:r>
              <w:rPr>
                <w:sz w:val="20"/>
              </w:rPr>
              <w:t>:</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tc>
      </w:tr>
    </w:tbl>
    <w:p>
      <w:pPr>
        <w:pStyle w:val="Normal"/>
        <w:jc w:val="both"/>
        <w:rPr>
          <w:sz w:val="20"/>
        </w:rPr>
      </w:pPr>
      <w:r>
        <w:rPr>
          <w:sz w:val="20"/>
        </w:rPr>
      </w:r>
    </w:p>
    <w:p>
      <w:pPr>
        <w:pStyle w:val="Normal"/>
        <w:jc w:val="both"/>
        <w:rPr/>
      </w:pPr>
      <w:r>
        <w:rPr>
          <w:sz w:val="20"/>
        </w:rPr>
        <w:t xml:space="preserve">Please confirm that the foregoing correctly sets forth all the terms and conditions of our agreement with respect to the Transaction by responding within three (3) Business Days by promptly signing in the space provided below and both (i) faxing the signed copy to Barclays, Swap Operations, </w:t>
      </w:r>
      <w:r>
        <w:rPr>
          <w:color w:val="FF0000"/>
          <w:sz w:val="20"/>
        </w:rPr>
        <w:t>Fax +(44) 20-7773-6810/6857, Tel +(44) 20-7773-6901/6904/6965</w:t>
      </w:r>
      <w:r>
        <w:rPr>
          <w:sz w:val="20"/>
        </w:rPr>
        <w:t xml:space="preserve">, and (ii) mailing the signed copy to Barclays Bank PLC, </w:t>
      </w:r>
      <w:r>
        <w:rPr>
          <w:color w:val="FF0000"/>
          <w:sz w:val="20"/>
        </w:rPr>
        <w:t>5 The North Colonnade, Canary Wharf, London E14 4PU</w:t>
      </w:r>
      <w:r>
        <w:rPr>
          <w:sz w:val="20"/>
        </w:rPr>
        <w:t xml:space="preserve">, Attention of Swap Operations.  Your failure to respond within such period shall not affect the validity or enforceability of the Transaction as against you. </w:t>
      </w:r>
      <w:r>
        <w:br w:type="page"/>
      </w:r>
    </w:p>
    <w:p>
      <w:pPr>
        <w:pStyle w:val="Normal"/>
        <w:jc w:val="both"/>
        <w:rPr>
          <w:sz w:val="20"/>
        </w:rPr>
      </w:pPr>
      <w:r>
        <w:rPr>
          <w:sz w:val="20"/>
        </w:rPr>
      </w:r>
    </w:p>
    <w:tbl>
      <w:tblPr>
        <w:tblW w:w="8654" w:type="dxa"/>
        <w:jc w:val="start"/>
        <w:tblInd w:w="0" w:type="dxa"/>
        <w:tblLayout w:type="fixed"/>
        <w:tblCellMar>
          <w:top w:w="0" w:type="dxa"/>
          <w:start w:w="108" w:type="dxa"/>
          <w:bottom w:w="0" w:type="dxa"/>
          <w:end w:w="108" w:type="dxa"/>
        </w:tblCellMar>
      </w:tblPr>
      <w:tblGrid>
        <w:gridCol w:w="4104"/>
        <w:gridCol w:w="446"/>
        <w:gridCol w:w="4104"/>
      </w:tblGrid>
      <w:tr>
        <w:trPr/>
        <w:tc>
          <w:tcPr>
            <w:tcW w:w="4104" w:type="dxa"/>
            <w:tcBorders>
              <w:bottom w:val="single" w:sz="6" w:space="0" w:color="000000"/>
            </w:tcBorders>
          </w:tcPr>
          <w:p>
            <w:pPr>
              <w:pStyle w:val="Normal"/>
              <w:snapToGrid w:val="false"/>
              <w:rPr>
                <w:sz w:val="20"/>
              </w:rPr>
            </w:pPr>
            <w:r>
              <w:rPr>
                <w:sz w:val="20"/>
              </w:rPr>
            </w:r>
          </w:p>
          <w:p>
            <w:pPr>
              <w:pStyle w:val="Normal"/>
              <w:rPr>
                <w:sz w:val="20"/>
              </w:rPr>
            </w:pPr>
            <w:bookmarkStart w:id="28" w:name="Sig2"/>
            <w:bookmarkEnd w:id="28"/>
            <w:r>
              <w:rPr>
                <w:sz w:val="20"/>
              </w:rPr>
              <w:t>For and on behalf of</w:t>
            </w:r>
          </w:p>
          <w:p>
            <w:pPr>
              <w:pStyle w:val="Normal"/>
              <w:rPr/>
            </w:pPr>
            <w:r>
              <w:rPr>
                <w:caps/>
                <w:sz w:val="20"/>
              </w:rPr>
              <w:t>Barclays Bank</w:t>
            </w:r>
            <w:r>
              <w:rPr>
                <w:sz w:val="20"/>
              </w:rPr>
              <w:t xml:space="preserve">  PLC</w:t>
            </w:r>
          </w:p>
          <w:p>
            <w:pPr>
              <w:pStyle w:val="Normal"/>
              <w:rPr>
                <w:sz w:val="20"/>
              </w:rPr>
            </w:pPr>
            <w:r>
              <w:rPr>
                <w:sz w:val="20"/>
              </w:rPr>
            </w:r>
          </w:p>
          <w:p>
            <w:pPr>
              <w:pStyle w:val="Normal"/>
              <w:rPr>
                <w:sz w:val="20"/>
              </w:rPr>
            </w:pPr>
            <w:r>
              <w:rPr>
                <w:sz w:val="20"/>
              </w:rPr>
            </w:r>
          </w:p>
          <w:p>
            <w:pPr>
              <w:pStyle w:val="Normal"/>
              <w:rPr>
                <w:sz w:val="20"/>
              </w:rPr>
            </w:pPr>
            <w:r>
              <w:rPr>
                <w:sz w:val="20"/>
              </w:rPr>
            </w:r>
          </w:p>
        </w:tc>
        <w:tc>
          <w:tcPr>
            <w:tcW w:w="446" w:type="dxa"/>
            <w:tcBorders/>
          </w:tcPr>
          <w:p>
            <w:pPr>
              <w:pStyle w:val="Normal"/>
              <w:snapToGrid w:val="false"/>
              <w:ind w:end="569"/>
              <w:jc w:val="both"/>
              <w:rPr>
                <w:sz w:val="20"/>
              </w:rPr>
            </w:pPr>
            <w:r>
              <w:rPr>
                <w:sz w:val="20"/>
              </w:rPr>
            </w:r>
          </w:p>
        </w:tc>
        <w:tc>
          <w:tcPr>
            <w:tcW w:w="4104" w:type="dxa"/>
            <w:tcBorders>
              <w:bottom w:val="single" w:sz="6" w:space="0" w:color="000000"/>
            </w:tcBorders>
          </w:tcPr>
          <w:p>
            <w:pPr>
              <w:pStyle w:val="Normal"/>
              <w:snapToGrid w:val="false"/>
              <w:rPr>
                <w:sz w:val="20"/>
              </w:rPr>
            </w:pPr>
            <w:r>
              <w:rPr>
                <w:sz w:val="20"/>
              </w:rPr>
            </w:r>
          </w:p>
          <w:p>
            <w:pPr>
              <w:pStyle w:val="Normal"/>
              <w:rPr>
                <w:sz w:val="20"/>
              </w:rPr>
            </w:pPr>
            <w:r>
              <w:rPr>
                <w:sz w:val="20"/>
              </w:rPr>
              <w:t>For and on behalf of</w:t>
            </w:r>
          </w:p>
          <w:p>
            <w:pPr>
              <w:pStyle w:val="Normal"/>
              <w:rPr>
                <w:sz w:val="20"/>
              </w:rPr>
            </w:pPr>
            <w:r>
              <w:rPr>
                <w:color w:val="FF0000"/>
                <w:sz w:val="20"/>
              </w:rPr>
              <w:t>LOST CREEK GAS GATHERING</w:t>
            </w:r>
          </w:p>
          <w:p>
            <w:pPr>
              <w:pStyle w:val="Normal"/>
              <w:rPr>
                <w:sz w:val="20"/>
              </w:rPr>
            </w:pPr>
            <w:r>
              <w:rPr>
                <w:sz w:val="20"/>
              </w:rPr>
            </w:r>
          </w:p>
          <w:p>
            <w:pPr>
              <w:pStyle w:val="Normal"/>
              <w:rPr>
                <w:sz w:val="20"/>
              </w:rPr>
            </w:pPr>
            <w:r>
              <w:rPr>
                <w:sz w:val="20"/>
              </w:rPr>
            </w:r>
          </w:p>
        </w:tc>
      </w:tr>
      <w:tr>
        <w:trPr/>
        <w:tc>
          <w:tcPr>
            <w:tcW w:w="4104" w:type="dxa"/>
            <w:tcBorders>
              <w:top w:val="single" w:sz="6" w:space="0" w:color="000000"/>
            </w:tcBorders>
          </w:tcPr>
          <w:p>
            <w:pPr>
              <w:pStyle w:val="Normal"/>
              <w:rPr>
                <w:sz w:val="20"/>
              </w:rPr>
            </w:pPr>
            <w:r>
              <w:rPr>
                <w:sz w:val="20"/>
              </w:rPr>
              <w:t>NAME:</w:t>
            </w:r>
          </w:p>
          <w:p>
            <w:pPr>
              <w:pStyle w:val="Normal"/>
              <w:rPr>
                <w:sz w:val="20"/>
              </w:rPr>
            </w:pPr>
            <w:r>
              <w:rPr>
                <w:sz w:val="20"/>
              </w:rPr>
              <w:t>Authorised Signatory No:</w:t>
            </w:r>
          </w:p>
          <w:p>
            <w:pPr>
              <w:pStyle w:val="Normal"/>
              <w:rPr>
                <w:sz w:val="20"/>
              </w:rPr>
            </w:pPr>
            <w:r>
              <w:rPr>
                <w:sz w:val="20"/>
              </w:rPr>
              <w:t xml:space="preserve">Date: </w:t>
            </w:r>
            <w:r>
              <w:rPr>
                <w:color w:val="FF0000"/>
                <w:sz w:val="20"/>
              </w:rPr>
              <w:t>September 7, 2000</w:t>
            </w:r>
          </w:p>
        </w:tc>
        <w:tc>
          <w:tcPr>
            <w:tcW w:w="446" w:type="dxa"/>
            <w:tcBorders/>
          </w:tcPr>
          <w:p>
            <w:pPr>
              <w:pStyle w:val="Normal"/>
              <w:snapToGrid w:val="false"/>
              <w:ind w:end="569"/>
              <w:jc w:val="both"/>
              <w:rPr>
                <w:sz w:val="20"/>
              </w:rPr>
            </w:pPr>
            <w:r>
              <w:rPr>
                <w:sz w:val="20"/>
              </w:rPr>
            </w:r>
          </w:p>
        </w:tc>
        <w:tc>
          <w:tcPr>
            <w:tcW w:w="4104" w:type="dxa"/>
            <w:tcBorders>
              <w:top w:val="single" w:sz="6" w:space="0" w:color="000000"/>
            </w:tcBorders>
          </w:tcPr>
          <w:p>
            <w:pPr>
              <w:pStyle w:val="Normal"/>
              <w:rPr>
                <w:sz w:val="20"/>
              </w:rPr>
            </w:pPr>
            <w:r>
              <w:rPr>
                <w:sz w:val="20"/>
              </w:rPr>
              <w:t>NAME:</w:t>
            </w:r>
          </w:p>
          <w:p>
            <w:pPr>
              <w:pStyle w:val="Normal"/>
              <w:rPr>
                <w:sz w:val="20"/>
              </w:rPr>
            </w:pPr>
            <w:r>
              <w:rPr>
                <w:sz w:val="20"/>
              </w:rPr>
              <w:t>Authorised Signatory</w:t>
            </w:r>
          </w:p>
          <w:p>
            <w:pPr>
              <w:pStyle w:val="Normal"/>
              <w:spacing w:before="0" w:after="120"/>
              <w:rPr>
                <w:sz w:val="20"/>
              </w:rPr>
            </w:pPr>
            <w:r>
              <w:rPr>
                <w:sz w:val="20"/>
              </w:rPr>
              <w:t>Date:</w:t>
            </w:r>
          </w:p>
        </w:tc>
      </w:tr>
      <w:tr>
        <w:trPr/>
        <w:tc>
          <w:tcPr>
            <w:tcW w:w="4104" w:type="dxa"/>
            <w:tcBorders/>
          </w:tcPr>
          <w:p>
            <w:pPr>
              <w:pStyle w:val="Normal"/>
              <w:rPr>
                <w:sz w:val="20"/>
              </w:rPr>
            </w:pPr>
            <w:bookmarkStart w:id="29" w:name="NotNovaSig"/>
            <w:bookmarkStart w:id="30" w:name="Sig1"/>
            <w:bookmarkEnd w:id="29"/>
            <w:bookmarkEnd w:id="30"/>
            <w:r>
              <w:rPr>
                <w:sz w:val="20"/>
              </w:rPr>
              <w:t>For and on behalf of</w:t>
            </w:r>
          </w:p>
          <w:p>
            <w:pPr>
              <w:pStyle w:val="Normal"/>
              <w:rPr/>
            </w:pPr>
            <w:r>
              <w:rPr>
                <w:caps/>
                <w:sz w:val="20"/>
              </w:rPr>
              <w:t>Barclays Bank</w:t>
            </w:r>
            <w:r>
              <w:rPr>
                <w:sz w:val="20"/>
              </w:rPr>
              <w:t xml:space="preserve">  PLC</w:t>
            </w:r>
          </w:p>
          <w:p>
            <w:pPr>
              <w:pStyle w:val="Normal"/>
              <w:rPr>
                <w:sz w:val="20"/>
              </w:rPr>
            </w:pPr>
            <w:r>
              <w:rPr>
                <w:sz w:val="20"/>
              </w:rPr>
            </w:r>
          </w:p>
          <w:p>
            <w:pPr>
              <w:pStyle w:val="Normal"/>
              <w:rPr>
                <w:sz w:val="20"/>
              </w:rPr>
            </w:pPr>
            <w:r>
              <w:rPr>
                <w:sz w:val="20"/>
              </w:rPr>
            </w:r>
          </w:p>
          <w:p>
            <w:pPr>
              <w:pStyle w:val="Normal"/>
              <w:rPr>
                <w:sz w:val="20"/>
              </w:rPr>
            </w:pPr>
            <w:r>
              <w:rPr>
                <w:sz w:val="20"/>
              </w:rPr>
            </w:r>
          </w:p>
        </w:tc>
        <w:tc>
          <w:tcPr>
            <w:tcW w:w="446" w:type="dxa"/>
            <w:tcBorders/>
          </w:tcPr>
          <w:p>
            <w:pPr>
              <w:pStyle w:val="Normal"/>
              <w:snapToGrid w:val="false"/>
              <w:ind w:end="569"/>
              <w:jc w:val="both"/>
              <w:rPr>
                <w:sz w:val="20"/>
              </w:rPr>
            </w:pPr>
            <w:r>
              <w:rPr>
                <w:sz w:val="20"/>
              </w:rPr>
            </w:r>
          </w:p>
        </w:tc>
        <w:tc>
          <w:tcPr>
            <w:tcW w:w="4104" w:type="dxa"/>
            <w:tcBorders/>
          </w:tcPr>
          <w:p>
            <w:pPr>
              <w:pStyle w:val="Normal"/>
              <w:rPr>
                <w:sz w:val="20"/>
              </w:rPr>
            </w:pPr>
            <w:r>
              <w:rPr>
                <w:sz w:val="20"/>
              </w:rPr>
              <w:t>For and on behalf of</w:t>
            </w:r>
          </w:p>
          <w:p>
            <w:pPr>
              <w:pStyle w:val="Normal"/>
              <w:rPr>
                <w:sz w:val="20"/>
              </w:rPr>
            </w:pPr>
            <w:r>
              <w:rPr>
                <w:color w:val="FF0000"/>
                <w:sz w:val="20"/>
              </w:rPr>
              <w:t>LOST CREEK GAS GATHERING</w:t>
            </w:r>
          </w:p>
          <w:p>
            <w:pPr>
              <w:pStyle w:val="Normal"/>
              <w:rPr>
                <w:sz w:val="20"/>
              </w:rPr>
            </w:pPr>
            <w:r>
              <w:rPr>
                <w:sz w:val="20"/>
              </w:rPr>
            </w:r>
          </w:p>
          <w:p>
            <w:pPr>
              <w:pStyle w:val="Normal"/>
              <w:rPr>
                <w:sz w:val="20"/>
              </w:rPr>
            </w:pPr>
            <w:r>
              <w:rPr>
                <w:sz w:val="20"/>
              </w:rPr>
            </w:r>
          </w:p>
          <w:p>
            <w:pPr>
              <w:pStyle w:val="Normal"/>
              <w:rPr>
                <w:sz w:val="20"/>
              </w:rPr>
            </w:pPr>
            <w:r>
              <w:rPr>
                <w:sz w:val="20"/>
              </w:rPr>
            </w:r>
          </w:p>
        </w:tc>
      </w:tr>
      <w:tr>
        <w:trPr/>
        <w:tc>
          <w:tcPr>
            <w:tcW w:w="4104" w:type="dxa"/>
            <w:tcBorders>
              <w:top w:val="single" w:sz="6" w:space="0" w:color="000000"/>
            </w:tcBorders>
          </w:tcPr>
          <w:p>
            <w:pPr>
              <w:pStyle w:val="Normal"/>
              <w:rPr>
                <w:sz w:val="20"/>
              </w:rPr>
            </w:pPr>
            <w:r>
              <w:rPr>
                <w:sz w:val="20"/>
              </w:rPr>
              <w:t>NAME:</w:t>
            </w:r>
          </w:p>
          <w:p>
            <w:pPr>
              <w:pStyle w:val="Normal"/>
              <w:rPr>
                <w:sz w:val="20"/>
              </w:rPr>
            </w:pPr>
            <w:r>
              <w:rPr>
                <w:sz w:val="20"/>
              </w:rPr>
              <w:t>Authorised Signatory  No:</w:t>
            </w:r>
          </w:p>
          <w:p>
            <w:pPr>
              <w:pStyle w:val="Normal"/>
              <w:spacing w:before="0" w:after="120"/>
              <w:rPr>
                <w:sz w:val="20"/>
              </w:rPr>
            </w:pPr>
            <w:r>
              <w:rPr>
                <w:sz w:val="20"/>
              </w:rPr>
              <w:t xml:space="preserve">Date: </w:t>
            </w:r>
            <w:r>
              <w:rPr>
                <w:color w:val="FF0000"/>
                <w:sz w:val="20"/>
              </w:rPr>
              <w:t>September 7, 2000</w:t>
            </w:r>
          </w:p>
        </w:tc>
        <w:tc>
          <w:tcPr>
            <w:tcW w:w="446" w:type="dxa"/>
            <w:tcBorders/>
          </w:tcPr>
          <w:p>
            <w:pPr>
              <w:pStyle w:val="Normal"/>
              <w:snapToGrid w:val="false"/>
              <w:ind w:end="569"/>
              <w:jc w:val="both"/>
              <w:rPr>
                <w:sz w:val="20"/>
              </w:rPr>
            </w:pPr>
            <w:r>
              <w:rPr>
                <w:sz w:val="20"/>
              </w:rPr>
            </w:r>
          </w:p>
        </w:tc>
        <w:tc>
          <w:tcPr>
            <w:tcW w:w="4104" w:type="dxa"/>
            <w:tcBorders>
              <w:top w:val="single" w:sz="6" w:space="0" w:color="000000"/>
            </w:tcBorders>
          </w:tcPr>
          <w:p>
            <w:pPr>
              <w:pStyle w:val="Normal"/>
              <w:rPr>
                <w:sz w:val="20"/>
              </w:rPr>
            </w:pPr>
            <w:r>
              <w:rPr>
                <w:sz w:val="20"/>
              </w:rPr>
              <w:t>NAME:</w:t>
            </w:r>
          </w:p>
          <w:p>
            <w:pPr>
              <w:pStyle w:val="Normal"/>
              <w:rPr>
                <w:sz w:val="20"/>
              </w:rPr>
            </w:pPr>
            <w:r>
              <w:rPr>
                <w:sz w:val="20"/>
              </w:rPr>
              <w:t>Authorised Signatory</w:t>
            </w:r>
          </w:p>
          <w:p>
            <w:pPr>
              <w:pStyle w:val="Normal"/>
              <w:spacing w:before="0" w:after="120"/>
              <w:rPr>
                <w:sz w:val="20"/>
              </w:rPr>
            </w:pPr>
            <w:r>
              <w:rPr>
                <w:sz w:val="20"/>
              </w:rPr>
              <w:t>Date:</w:t>
            </w:r>
          </w:p>
        </w:tc>
      </w:tr>
    </w:tbl>
    <w:p>
      <w:pPr>
        <w:pStyle w:val="Normal"/>
        <w:ind w:end="-450"/>
        <w:jc w:val="both"/>
        <w:rPr>
          <w:i/>
          <w:i/>
          <w:sz w:val="19"/>
        </w:rPr>
      </w:pPr>
      <w:r>
        <w:rPr>
          <w:i/>
          <w:sz w:val="19"/>
        </w:rPr>
        <w:t>Barclays Bank PLC and its affiliates, including Barclays Capital Inc., may share with each other information, including non-public credit information, concerning its clients  and prospective clients.  If you do not want such information to be shared, you must write to the Director of Compliance, Barclays Bank PLC, 222 Broadway, New York, N.Y. 10038</w:t>
      </w:r>
    </w:p>
    <w:p>
      <w:pPr>
        <w:pStyle w:val="Normal"/>
        <w:ind w:end="-450"/>
        <w:jc w:val="both"/>
        <w:rPr>
          <w:i/>
          <w:i/>
          <w:sz w:val="19"/>
        </w:rPr>
      </w:pPr>
      <w:r>
        <w:rPr>
          <w:i/>
          <w:sz w:val="19"/>
        </w:rPr>
      </w:r>
    </w:p>
    <w:p>
      <w:pPr>
        <w:pStyle w:val="Normal"/>
        <w:ind w:end="-450"/>
        <w:jc w:val="both"/>
        <w:rPr>
          <w:i/>
          <w:i/>
          <w:sz w:val="19"/>
        </w:rPr>
      </w:pPr>
      <w:r>
        <w:rPr>
          <w:i/>
          <w:sz w:val="19"/>
        </w:rPr>
      </w:r>
    </w:p>
    <w:p>
      <w:pPr>
        <w:pStyle w:val="Normal"/>
        <w:ind w:end="-450"/>
        <w:jc w:val="both"/>
        <w:rPr>
          <w:b/>
          <w:sz w:val="19"/>
        </w:rPr>
      </w:pPr>
      <w:r>
        <w:rPr>
          <w:b/>
          <w:sz w:val="19"/>
        </w:rPr>
        <w:t>AMORTIZATION SCHEDULE</w:t>
      </w:r>
    </w:p>
    <w:p>
      <w:pPr>
        <w:pStyle w:val="Normal"/>
        <w:ind w:end="-450"/>
        <w:jc w:val="both"/>
        <w:rPr>
          <w:b/>
          <w:sz w:val="19"/>
        </w:rPr>
      </w:pPr>
      <w:r>
        <w:rPr>
          <w:b/>
          <w:sz w:val="19"/>
        </w:rPr>
      </w:r>
    </w:p>
    <w:p>
      <w:pPr>
        <w:sectPr>
          <w:headerReference w:type="default" r:id="rId3"/>
          <w:headerReference w:type="first" r:id="rId4"/>
          <w:footerReference w:type="default" r:id="rId5"/>
          <w:footerReference w:type="first" r:id="rId6"/>
          <w:type w:val="nextPage"/>
          <w:pgSz w:w="12240" w:h="15840"/>
          <w:pgMar w:left="1800" w:right="1710" w:gutter="0" w:header="576" w:top="1008" w:footer="576" w:bottom="1008"/>
          <w:pgNumType w:fmt="decimal"/>
          <w:formProt w:val="false"/>
          <w:titlePg/>
          <w:textDirection w:val="lrTb"/>
          <w:docGrid w:type="default" w:linePitch="360" w:charSpace="0"/>
        </w:sectPr>
      </w:pPr>
    </w:p>
    <w:tbl>
      <w:tblPr>
        <w:tblW w:w="3432" w:type="dxa"/>
        <w:jc w:val="start"/>
        <w:tblInd w:w="0" w:type="dxa"/>
        <w:tblLayout w:type="fixed"/>
        <w:tblCellMar>
          <w:top w:w="0" w:type="dxa"/>
          <w:start w:w="30" w:type="dxa"/>
          <w:bottom w:w="0" w:type="dxa"/>
          <w:end w:w="30" w:type="dxa"/>
        </w:tblCellMar>
      </w:tblPr>
      <w:tblGrid>
        <w:gridCol w:w="1306"/>
        <w:gridCol w:w="2126"/>
      </w:tblGrid>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15/09/2000</w:t>
            </w:r>
          </w:p>
        </w:tc>
        <w:tc>
          <w:tcPr>
            <w:tcW w:w="2126" w:type="dxa"/>
            <w:tcBorders/>
          </w:tcPr>
          <w:p>
            <w:pPr>
              <w:pStyle w:val="Normal"/>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42,075,000.00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31/12/2000</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41,948,775.00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31/03/2001</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41,818,342.50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30/06/2001</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41,713,155.00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30/09/2001</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41,591,137.50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31/12/2001</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41,044,162.50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31/03/2002</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40,488,772.50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30/06/2002</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39,958,627.50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30/09/2002</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39,399,030.00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31/12/2002</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38,486,002.50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31/03/2003</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37,556,145.00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30/06/2003</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36,651,532.50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30/09/2003</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35,709,052.50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31/12/2003</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34,728,705.00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31/03/2004</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33,727,320.00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30/06/2004</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32,730,142.50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30/09/2004</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31,711,927.50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31/12/2004</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30,664,260.00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31/03/2005</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29,595,555.00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30/06/2005</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28,547,887.50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30/09/2005</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27,458,145.00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31/12/2005</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26,326,327.50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31/03/2006</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25,173,472.50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30/09/2006</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24,041,655.00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30/09/2006</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22,863,555.00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31/12/2006</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21,651,795.00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31/03/2007</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20,414,790.00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30/06/2007</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19,194,615.00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30/09/2007</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17,928,157.50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31/12/2007</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16,619,625.00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31/03/2008</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15,281,640.00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30/06/2008</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13,939,447.50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30/09/2008</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12,567,802.50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31/12/2008</w:t>
            </w:r>
          </w:p>
        </w:tc>
        <w:tc>
          <w:tcPr>
            <w:tcW w:w="2126" w:type="dxa"/>
            <w:tcBorders/>
          </w:tcPr>
          <w:p>
            <w:pPr>
              <w:pStyle w:val="Normal"/>
              <w:jc w:val="end"/>
              <w:rPr>
                <w:rFonts w:ascii="Arial" w:hAnsi="Arial" w:cs="Arial"/>
                <w:color w:val="000000"/>
                <w:lang w:val="en-GB"/>
              </w:rPr>
            </w:pPr>
            <w:r>
              <w:rPr>
                <w:rFonts w:eastAsia="Arial" w:cs="Arial" w:ascii="Arial" w:hAnsi="Arial"/>
                <w:color w:val="000000"/>
                <w:lang w:val="en-GB"/>
              </w:rPr>
              <w:t xml:space="preserve"> </w:t>
            </w:r>
            <w:r>
              <w:rPr>
                <w:rFonts w:cs="Arial" w:ascii="Arial" w:hAnsi="Arial"/>
                <w:color w:val="000000"/>
                <w:lang w:val="en-GB"/>
              </w:rPr>
              <w:t xml:space="preserve">USD 11,149,875.00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31/03/2008</w:t>
            </w:r>
          </w:p>
        </w:tc>
        <w:tc>
          <w:tcPr>
            <w:tcW w:w="2126" w:type="dxa"/>
            <w:tcBorders/>
          </w:tcPr>
          <w:p>
            <w:pPr>
              <w:pStyle w:val="Normal"/>
              <w:jc w:val="center"/>
              <w:rPr>
                <w:rFonts w:ascii="Arial" w:hAnsi="Arial" w:cs="Arial"/>
                <w:color w:val="000000"/>
                <w:lang w:val="en-GB"/>
              </w:rPr>
            </w:pPr>
            <w:r>
              <w:rPr>
                <w:rFonts w:cs="Arial" w:ascii="Arial" w:hAnsi="Arial"/>
                <w:color w:val="000000"/>
                <w:lang w:val="en-GB"/>
              </w:rPr>
              <w:t xml:space="preserve">USD 9,706,702.50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30/06/2008</w:t>
            </w:r>
          </w:p>
        </w:tc>
        <w:tc>
          <w:tcPr>
            <w:tcW w:w="2126" w:type="dxa"/>
            <w:tcBorders/>
          </w:tcPr>
          <w:p>
            <w:pPr>
              <w:pStyle w:val="Normal"/>
              <w:jc w:val="center"/>
              <w:rPr>
                <w:rFonts w:ascii="Arial" w:hAnsi="Arial" w:cs="Arial"/>
                <w:color w:val="000000"/>
                <w:lang w:val="en-GB"/>
              </w:rPr>
            </w:pPr>
            <w:r>
              <w:rPr>
                <w:rFonts w:cs="Arial" w:ascii="Arial" w:hAnsi="Arial"/>
                <w:color w:val="000000"/>
                <w:lang w:val="en-GB"/>
              </w:rPr>
              <w:t xml:space="preserve">USD 8,276,152.50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30/09/2008</w:t>
            </w:r>
          </w:p>
        </w:tc>
        <w:tc>
          <w:tcPr>
            <w:tcW w:w="2126" w:type="dxa"/>
            <w:tcBorders/>
          </w:tcPr>
          <w:p>
            <w:pPr>
              <w:pStyle w:val="Normal"/>
              <w:jc w:val="center"/>
              <w:rPr>
                <w:rFonts w:ascii="Arial" w:hAnsi="Arial" w:cs="Arial"/>
                <w:color w:val="000000"/>
                <w:lang w:val="en-GB"/>
              </w:rPr>
            </w:pPr>
            <w:r>
              <w:rPr>
                <w:rFonts w:cs="Arial" w:ascii="Arial" w:hAnsi="Arial"/>
                <w:color w:val="000000"/>
                <w:lang w:val="en-GB"/>
              </w:rPr>
              <w:t xml:space="preserve">USD 6,795,112.50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31/12/2009</w:t>
            </w:r>
          </w:p>
        </w:tc>
        <w:tc>
          <w:tcPr>
            <w:tcW w:w="2126" w:type="dxa"/>
            <w:tcBorders/>
          </w:tcPr>
          <w:p>
            <w:pPr>
              <w:pStyle w:val="Normal"/>
              <w:jc w:val="center"/>
              <w:rPr>
                <w:rFonts w:ascii="Arial" w:hAnsi="Arial" w:cs="Arial"/>
                <w:color w:val="000000"/>
                <w:lang w:val="en-GB"/>
              </w:rPr>
            </w:pPr>
            <w:r>
              <w:rPr>
                <w:rFonts w:cs="Arial" w:ascii="Arial" w:hAnsi="Arial"/>
                <w:color w:val="000000"/>
                <w:lang w:val="en-GB"/>
              </w:rPr>
              <w:t xml:space="preserve">USD 5,263,582.50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31/03/2010</w:t>
            </w:r>
          </w:p>
        </w:tc>
        <w:tc>
          <w:tcPr>
            <w:tcW w:w="2126" w:type="dxa"/>
            <w:tcBorders/>
          </w:tcPr>
          <w:p>
            <w:pPr>
              <w:pStyle w:val="Normal"/>
              <w:jc w:val="center"/>
              <w:rPr>
                <w:rFonts w:ascii="Arial" w:hAnsi="Arial" w:cs="Arial"/>
                <w:color w:val="000000"/>
                <w:lang w:val="en-GB"/>
              </w:rPr>
            </w:pPr>
            <w:r>
              <w:rPr>
                <w:rFonts w:cs="Arial" w:ascii="Arial" w:hAnsi="Arial"/>
                <w:color w:val="000000"/>
                <w:lang w:val="en-GB"/>
              </w:rPr>
              <w:t xml:space="preserve">USD 3,702,600.00 </w:t>
            </w:r>
          </w:p>
        </w:tc>
      </w:tr>
      <w:tr>
        <w:trPr>
          <w:trHeight w:val="262" w:hRule="atLeast"/>
        </w:trPr>
        <w:tc>
          <w:tcPr>
            <w:tcW w:w="1306" w:type="dxa"/>
            <w:tcBorders/>
          </w:tcPr>
          <w:p>
            <w:pPr>
              <w:pStyle w:val="Normal"/>
              <w:jc w:val="end"/>
              <w:rPr>
                <w:rFonts w:ascii="Arial" w:hAnsi="Arial" w:cs="Arial"/>
                <w:color w:val="000000"/>
                <w:lang w:val="en-GB"/>
              </w:rPr>
            </w:pPr>
            <w:r>
              <w:rPr>
                <w:rFonts w:cs="Arial" w:ascii="Arial" w:hAnsi="Arial"/>
                <w:color w:val="000000"/>
                <w:lang w:val="en-GB"/>
              </w:rPr>
              <w:t>30/06/2010</w:t>
            </w:r>
          </w:p>
        </w:tc>
        <w:tc>
          <w:tcPr>
            <w:tcW w:w="2126" w:type="dxa"/>
            <w:tcBorders/>
          </w:tcPr>
          <w:p>
            <w:pPr>
              <w:pStyle w:val="Normal"/>
              <w:jc w:val="center"/>
              <w:rPr>
                <w:rFonts w:ascii="Arial" w:hAnsi="Arial" w:cs="Arial"/>
                <w:color w:val="000000"/>
                <w:lang w:val="en-GB"/>
              </w:rPr>
            </w:pPr>
            <w:r>
              <w:rPr>
                <w:rFonts w:cs="Arial" w:ascii="Arial" w:hAnsi="Arial"/>
                <w:color w:val="000000"/>
                <w:lang w:val="en-GB"/>
              </w:rPr>
              <w:t xml:space="preserve">USD 2,150,032.50 </w:t>
            </w:r>
          </w:p>
        </w:tc>
      </w:tr>
    </w:tbl>
    <w:p>
      <w:pPr>
        <w:sectPr>
          <w:type w:val="continuous"/>
          <w:pgSz w:w="12240" w:h="15840"/>
          <w:pgMar w:left="1800" w:right="1710" w:gutter="0" w:header="576" w:top="1008" w:footer="576" w:bottom="1008"/>
          <w:cols w:num="2" w:space="720" w:equalWidth="true" w:sep="false"/>
          <w:formProt w:val="false"/>
          <w:titlePg/>
          <w:textDirection w:val="lrTb"/>
          <w:docGrid w:type="default" w:linePitch="360" w:charSpace="0"/>
        </w:sectPr>
      </w:pPr>
    </w:p>
    <w:p>
      <w:pPr>
        <w:pStyle w:val="Normal"/>
        <w:ind w:end="-450"/>
        <w:jc w:val="both"/>
        <w:rPr>
          <w:i/>
          <w:i/>
          <w:sz w:val="19"/>
        </w:rPr>
      </w:pPr>
      <w:r>
        <w:rPr>
          <w:i/>
          <w:sz w:val="19"/>
        </w:rPr>
      </w:r>
    </w:p>
    <w:p>
      <w:pPr>
        <w:pStyle w:val="Normal"/>
        <w:rPr>
          <w:rFonts w:ascii="Courier" w:hAnsi="Courier" w:cs="Courier"/>
          <w:vanish/>
          <w:sz w:val="20"/>
        </w:rPr>
      </w:pPr>
      <w:r>
        <w:rPr>
          <w:rFonts w:cs="Courier" w:ascii="Courier" w:hAnsi="Courier"/>
          <w:vanish/>
          <w:sz w:val="20"/>
        </w:rPr>
        <w:t>&lt;UniqueID:167997B2v2Jul0600.doc&gt;&lt;AtTime:+1&gt;&lt;ToName:Ms. Marina Potok&gt;&lt;ToCompany:GOLDMAN SACHS CAP MKTS NEW YORK&gt;&lt;ToContactNum:9-(00)1-774-902 0252&gt;&lt;ToFaxNum:9-(00)1-774-774 5628&gt;&lt;BillInfo1:Confirms&gt;&lt;BillInfo2:C37&gt;&lt;FromName:London Reset/Payments Team&gt;&lt;FromPhone:44(20) 77736603&gt;&lt;FromFaxNum:44(20) 77736810&gt;</w:t>
      </w:r>
    </w:p>
    <w:p>
      <w:pPr>
        <w:pStyle w:val="Normal"/>
        <w:ind w:end="-450"/>
        <w:rPr>
          <w:rFonts w:ascii="Courier" w:hAnsi="Courier" w:cs="Courier"/>
          <w:b/>
          <w:vanish/>
          <w:sz w:val="19"/>
        </w:rPr>
      </w:pPr>
      <w:r>
        <w:rPr>
          <w:rFonts w:cs="Courier" w:ascii="Courier" w:hAnsi="Courier"/>
          <w:b/>
          <w:vanish/>
          <w:sz w:val="19"/>
        </w:rPr>
      </w:r>
    </w:p>
    <w:sectPr>
      <w:type w:val="continuous"/>
      <w:pgSz w:w="12240" w:h="15840"/>
      <w:pgMar w:left="1800" w:right="1710" w:gutter="0" w:header="576" w:top="1008" w:footer="576" w:bottom="100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90" w:leader="none"/>
        <w:tab w:val="center" w:pos="4320" w:leader="none"/>
        <w:tab w:val="right" w:pos="8640" w:leader="none"/>
      </w:tabs>
      <w:rPr/>
    </w:pPr>
    <w:r>
      <w:rPr>
        <w:color w:val="FF0000"/>
        <w:sz w:val="18"/>
      </w:rPr>
      <w:tab/>
    </w:r>
    <w:r>
      <w:rPr>
        <w:color w:val="FF0000"/>
        <w:sz w:val="18"/>
      </w:rPr>
      <w:fldChar w:fldCharType="begin"/>
    </w:r>
    <w:r>
      <w:rPr>
        <w:sz w:val="18"/>
        <w:color w:val="FF0000"/>
      </w:rPr>
      <w:instrText xml:space="preserve"> DATE \@"MMM\ d', 'yyyy" </w:instrText>
    </w:r>
    <w:r>
      <w:rPr>
        <w:sz w:val="18"/>
        <w:color w:val="FF0000"/>
      </w:rPr>
      <w:fldChar w:fldCharType="separate"/>
    </w:r>
    <w:r>
      <w:rPr>
        <w:sz w:val="18"/>
        <w:color w:val="FF0000"/>
      </w:rPr>
      <w:t>Sep 28, 2025</w:t>
    </w:r>
    <w:r>
      <w:rPr>
        <w:sz w:val="18"/>
        <w:color w:val="FF0000"/>
      </w:rPr>
      <w:fldChar w:fldCharType="end"/>
    </w:r>
    <w:r>
      <w:rPr>
        <w:color w:val="FF0000"/>
        <w:sz w:val="18"/>
      </w:rPr>
      <w:tab/>
      <w:tab/>
    </w:r>
    <w:r>
      <w:rPr>
        <w:color w:val="FF0000"/>
        <w:sz w:val="18"/>
      </w:rPr>
      <w:fldChar w:fldCharType="begin"/>
    </w:r>
    <w:r>
      <w:rPr>
        <w:sz w:val="18"/>
        <w:color w:val="FF0000"/>
      </w:rPr>
      <w:instrText xml:space="preserve"> FILENAME </w:instrText>
    </w:r>
    <w:r>
      <w:rPr>
        <w:sz w:val="18"/>
        <w:color w:val="FF0000"/>
      </w:rPr>
      <w:fldChar w:fldCharType="separate"/>
    </w:r>
    <w:r>
      <w:rPr>
        <w:sz w:val="18"/>
        <w:color w:val="FF0000"/>
      </w:rPr>
      <w:t>Sample_confirm_Sept_7.doc</w:t>
    </w:r>
    <w:r>
      <w:rPr>
        <w:sz w:val="18"/>
        <w:color w:val="FF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fldChar w:fldCharType="begin"/>
    </w:r>
    <w:r>
      <w:rPr>
        <w:sz w:val="18"/>
      </w:rPr>
      <w:instrText xml:space="preserve"> PAGE </w:instrText>
    </w:r>
    <w:r>
      <w:rPr>
        <w:sz w:val="18"/>
      </w:rPr>
      <w:fldChar w:fldCharType="separate"/>
    </w:r>
    <w:r>
      <w:rPr>
        <w:sz w:val="18"/>
      </w:rPr>
      <w:t>5</w:t>
    </w:r>
    <w:r>
      <w:rPr>
        <w:sz w:val="18"/>
      </w:rPr>
      <w:fldChar w:fldCharType="end"/>
    </w:r>
    <w:r>
      <w:rPr>
        <w:sz w:val="18"/>
      </w:rPr>
      <w:t xml:space="preserve"> </w:t>
    </w:r>
    <w:r>
      <w:rPr>
        <w:sz w:val="18"/>
      </w:rPr>
      <w:t xml:space="preserve">of </w:t>
    </w:r>
    <w:r>
      <w:rPr>
        <w:sz w:val="18"/>
      </w:rPr>
      <w:fldChar w:fldCharType="begin"/>
    </w:r>
    <w:r>
      <w:rPr>
        <w:sz w:val="18"/>
      </w:rPr>
      <w:instrText xml:space="preserve"> NUMPAGES \* ARABIC </w:instrText>
    </w:r>
    <w:r>
      <w:rPr>
        <w:sz w:val="18"/>
      </w:rPr>
      <w:fldChar w:fldCharType="separate"/>
    </w:r>
    <w:r>
      <w:rPr>
        <w:sz w:val="18"/>
      </w:rPr>
      <w:t>5</w:t>
    </w:r>
    <w:r>
      <w:rPr>
        <w:sz w:val="1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1SIGN" w:val=" "/>
    <w:docVar w:name="AGREEMENTDONE" w:val="N"/>
    <w:docVar w:name="COMMENT" w:val=" ICRATE"/>
    <w:docVar w:name="COMMENTS" w:val=" "/>
    <w:docVar w:name="CONFMECHANISMID" w:val="None"/>
    <w:docVar w:name="CONFVERSION" w:val="2"/>
    <w:docVar w:name="DEALID" w:val="167997B"/>
    <w:docVar w:name="DOCTYPEID" w:val="CONFIRM"/>
    <w:docVar w:name="FILENAME" w:val="167997B2v2Jul0600.doc"/>
    <w:docVar w:name="FILEPATH" w:val="\\folps0127\tts$\Prod\00Jul\"/>
    <w:docVar w:name="PASSWORD" w:val="12345"/>
    <w:docVar w:name="SOURCEID" w:val="SUMMIT"/>
    <w:docVar w:name="STATUS" w:val="Generated"/>
    <w:docVar w:name="TEMPLATEID" w:val="SWAP.DOC"/>
    <w:docVar w:name="USER" w:val="adamsa"/>
    <w:docVar w:name="VERSION"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Arial" w:hAnsi="Arial" w:cs="Arial"/>
      <w:b/>
      <w:sz w:val="24"/>
      <w:u w:val="single"/>
    </w:rPr>
  </w:style>
  <w:style w:type="paragraph" w:styleId="Heading2">
    <w:name w:val="heading 2"/>
    <w:basedOn w:val="Normal"/>
    <w:next w:val="Normal"/>
    <w:qFormat/>
    <w:pPr>
      <w:numPr>
        <w:ilvl w:val="1"/>
        <w:numId w:val="1"/>
      </w:numPr>
      <w:spacing w:before="120" w:after="0"/>
      <w:outlineLvl w:val="1"/>
    </w:pPr>
    <w:rPr>
      <w:rFonts w:ascii="Arial" w:hAnsi="Arial" w:cs="Arial"/>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b/>
      <w:sz w:val="24"/>
      <w:u w:val="single"/>
      <w:lang w:val="en-GB"/>
    </w:rPr>
  </w:style>
  <w:style w:type="paragraph" w:styleId="BodyText">
    <w:name w:val="Body Text"/>
    <w:basedOn w:val="Normal"/>
    <w:pPr>
      <w:spacing w:before="0" w:after="8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
    <w:name w:val="Head"/>
    <w:basedOn w:val="Normal"/>
    <w:qFormat/>
    <w:pPr>
      <w:spacing w:before="240" w:after="0"/>
      <w:ind w:hanging="0" w:start="0" w:end="576"/>
    </w:pPr>
    <w:rPr>
      <w:b/>
      <w:sz w:val="24"/>
      <w:lang w:val="en-GB"/>
    </w:rPr>
  </w:style>
  <w:style w:type="paragraph" w:styleId="BodyTextIndent3">
    <w:name w:val="Body Text Indent 3"/>
    <w:basedOn w:val="Normal"/>
    <w:qFormat/>
    <w:pPr>
      <w:ind w:hanging="720" w:start="720" w:end="0"/>
    </w:pPr>
    <w:rPr>
      <w:sz w:val="20"/>
    </w:rPr>
  </w:style>
  <w:style w:type="paragraph" w:styleId="BodyTextIndent">
    <w:name w:val="Body Text Indent"/>
    <w:basedOn w:val="Normal"/>
    <w:pPr>
      <w:spacing w:before="0" w:after="80"/>
      <w:ind w:hanging="0" w:start="709"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2000-09-07T09:24:00Z</dcterms:created>
  <dc:creator>EW/LN/CB</dc:creator>
  <dc:description/>
  <cp:keywords>Ethan</cp:keywords>
  <dc:language>en-CA</dc:language>
  <cp:lastModifiedBy>watsonsc</cp:lastModifiedBy>
  <cp:lastPrinted>2000-07-06T13:54:00Z</cp:lastPrinted>
  <dcterms:modified xsi:type="dcterms:W3CDTF">2000-09-07T09:27:00Z</dcterms:modified>
  <cp:revision>3</cp:revision>
  <dc:subject/>
  <dc:title>Ethan Frome</dc:title>
</cp:coreProperties>
</file>