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pPr>
      <w:r>
        <w:rPr>
          <w:b/>
          <w:bCs/>
        </w:rPr>
        <w:tab/>
        <w:t xml:space="preserve">SAMPLE </w:t>
      </w:r>
      <w:r>
        <w:rPr/>
        <w:t xml:space="preserve">  </w:t>
      </w:r>
      <w:r>
        <w:rPr>
          <w:b/>
          <w:bCs/>
        </w:rPr>
        <w:t>FOR DISCUSSION PURPOSES  ONLY</w:t>
      </w:r>
    </w:p>
    <w:p>
      <w:pPr>
        <w:pStyle w:val="Normal"/>
        <w:widowControl w:val="false"/>
        <w:tabs>
          <w:tab w:val="clear" w:pos="720"/>
          <w:tab w:val="right" w:pos="10800" w:leader="none"/>
        </w:tabs>
        <w:rPr/>
      </w:pPr>
      <w:r>
        <w:rPr/>
        <w:t xml:space="preserve">This Base Contract is entered into as of the following date: </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 xml:space="preserve">ENA UPSTREAM   COMPANY, LLC     </w:t>
        <w:tab/>
      </w:r>
      <w:r>
        <w:rPr/>
        <w:tab/>
        <w:t>and</w:t>
        <w:tab/>
        <w:t>SAMEDAN OIL</w:t>
        <w:tab/>
      </w:r>
      <w:r>
        <w:rPr>
          <w:b/>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ab/>
        <w:tab/>
      </w:r>
      <w:r>
        <w:rPr/>
        <w:tab/>
        <w:t>Duns # 007905458</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Heading2"/>
        <w:ind w:hanging="0" w:start="0"/>
        <w:rPr/>
      </w:pPr>
      <w:r>
        <w:rPr/>
        <w:t>Account #3751777485 ABA #111000012  Bank of America Dallas TX</w:t>
      </w:r>
      <w:r>
        <w:rPr>
          <w:u w:val="none"/>
        </w:rPr>
        <w:t xml:space="preserve">  </w:t>
      </w:r>
      <w:r>
        <w:rPr/>
        <w:t>Account#08805135066 ABA#113000609 Chase Bank of TX</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ENA  UPSTREAM COMPANY, LLC</w:t>
      </w:r>
      <w:r>
        <w:rPr>
          <w:u w:val="single"/>
        </w:rPr>
        <w:tab/>
      </w:r>
      <w:r>
        <w:rPr/>
        <w:tab/>
        <w:tab/>
        <w:t>SAMEDAN OIL</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val="false"/>
      <w:spacing w:lineRule="exact" w:line="19"/>
      <w:ind w:start="720" w:end="720"/>
      <w:jc w:val="both"/>
      <w:rPr>
        <w:rFonts w:ascii="CG Times;Times New Roman" w:hAnsi="CG Times;Times New Roman" w:cs="CG Times;Times New Roman"/>
        <w:sz w:val="24"/>
        <w:lang w:val="en-CA" w:eastAsia="en-CA"/>
      </w:rPr>
    </w:pPr>
    <w:r>
      <w:rPr>
        <w:rFonts w:cs="CG Times;Times New Roman" w:ascii="CG Times;Times New Roman" w:hAnsi="CG Times;Times New Roman"/>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Times New Roman" w:hAnsi="CG Times;Times New Roman" w:cs="CG Times;Times New Roman"/>
        <w:sz w:val="18"/>
      </w:rPr>
    </w:pPr>
    <w:r>
      <w:rPr>
        <w:sz w:val="18"/>
      </w:rPr>
      <w:t>Copyright © 1996–2000 Gas Industry Standards Board, Inc.</w:t>
    </w:r>
    <w:r>
      <w:rPr>
        <w:rFonts w:cs="CG Times;Times New Roman" w:ascii="CG Times;Times New Roman" w:hAnsi="CG Times;Times New Roman"/>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Times New Roman" w:ascii="CG Times;Times New Roman" w:hAnsi="CG Times;Times New Roman"/>
        <w:sz w:val="18"/>
      </w:rPr>
      <w:t>All rights reserved.</w:t>
    </w:r>
    <w:r>
      <w:rPr>
        <w:rFonts w:cs="CG Times;Times New Roman" w:ascii="CG Times;Times New Roman" w:hAnsi="CG Times;Times New Roman"/>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2085665710"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993370849"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2001-05-30T17:40:00Z</dcterms:created>
  <dc:creator>EPNG</dc:creator>
  <dc:description/>
  <dc:language>en-CA</dc:language>
  <cp:lastModifiedBy>jthorne</cp:lastModifiedBy>
  <cp:lastPrinted>2001-01-10T15:01:00Z</cp:lastPrinted>
  <dcterms:modified xsi:type="dcterms:W3CDTF">2001-05-30T17:40:00Z</dcterms:modified>
  <cp:revision>2</cp:revision>
  <dc:subject/>
  <dc:title>BASE CONTRACT FOR SHORT-TERM</dc:title>
</cp:coreProperties>
</file>